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FBEF" w14:textId="709B3266" w:rsidR="004D0919" w:rsidRDefault="004D0919" w:rsidP="004D0919">
      <w:pPr>
        <w:spacing w:line="360" w:lineRule="atLeast"/>
        <w:ind w:left="1236" w:right="1648"/>
        <w:rPr>
          <w:rFonts w:hint="eastAsia"/>
        </w:rPr>
      </w:pPr>
    </w:p>
    <w:p w14:paraId="69B8B5D8" w14:textId="77777777" w:rsidR="004D0919" w:rsidRDefault="004D0919" w:rsidP="004D0919">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経理規程</w:instrText>
      </w:r>
      <w:r>
        <w:rPr>
          <w:rFonts w:cs="Times New Roman"/>
        </w:rPr>
        <w:instrText>,\d\fo80())</w:instrText>
      </w:r>
      <w:r>
        <w:rPr>
          <w:rFonts w:cs="Times New Roman"/>
        </w:rPr>
        <w:fldChar w:fldCharType="end"/>
      </w:r>
    </w:p>
    <w:p w14:paraId="6E251E3F" w14:textId="77777777" w:rsidR="004D0919" w:rsidRDefault="004D0919" w:rsidP="004D0919">
      <w:pPr>
        <w:spacing w:line="360" w:lineRule="atLeast"/>
        <w:ind w:left="1236" w:right="1648"/>
      </w:pPr>
    </w:p>
    <w:p w14:paraId="21063D9E" w14:textId="77777777" w:rsidR="004D0919" w:rsidRDefault="004D0919" w:rsidP="004D0919">
      <w:pPr>
        <w:spacing w:line="360" w:lineRule="atLeast"/>
        <w:ind w:left="1236" w:right="1648"/>
      </w:pPr>
    </w:p>
    <w:p w14:paraId="07768B14"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69C225FA" w14:textId="77777777" w:rsidR="004D0919" w:rsidRDefault="004D0919" w:rsidP="004D0919">
      <w:pPr>
        <w:spacing w:line="360" w:lineRule="atLeast"/>
        <w:ind w:left="1236" w:right="1648"/>
      </w:pPr>
    </w:p>
    <w:p w14:paraId="5837CC00" w14:textId="77777777" w:rsidR="004D0919" w:rsidRDefault="004D0919" w:rsidP="004D0919">
      <w:pPr>
        <w:spacing w:line="360" w:lineRule="atLeast"/>
        <w:ind w:left="1236" w:right="1648"/>
      </w:pPr>
      <w:r>
        <w:rPr>
          <w:rFonts w:hint="eastAsia"/>
        </w:rPr>
        <w:t>（目</w:t>
      </w:r>
      <w:r>
        <w:rPr>
          <w:rFonts w:cs="Times New Roman"/>
        </w:rPr>
        <w:t xml:space="preserve">    </w:t>
      </w:r>
      <w:r>
        <w:rPr>
          <w:rFonts w:hint="eastAsia"/>
        </w:rPr>
        <w:t>的）</w:t>
      </w:r>
    </w:p>
    <w:p w14:paraId="6F99F038"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この規程は、会社の</w:t>
      </w:r>
      <w:bookmarkStart w:id="0" w:name="OLE_LINK1"/>
      <w:bookmarkStart w:id="1" w:name="OLE_LINK2"/>
      <w:r>
        <w:rPr>
          <w:rFonts w:hint="eastAsia"/>
        </w:rPr>
        <w:t>経営活動に関する諸取引を正確かつ迅速に処</w:t>
      </w:r>
    </w:p>
    <w:p w14:paraId="7FA17479" w14:textId="77777777" w:rsidR="004D0919" w:rsidRDefault="004D0919" w:rsidP="004D0919">
      <w:pPr>
        <w:spacing w:line="360" w:lineRule="atLeast"/>
        <w:ind w:left="2060" w:right="1648"/>
      </w:pPr>
      <w:r>
        <w:rPr>
          <w:rFonts w:hint="eastAsia"/>
        </w:rPr>
        <w:t>理し、経営成績および会社の財政状態を明らかにするとともに、会社経営の能率的な運営を図ることを目</w:t>
      </w:r>
      <w:bookmarkEnd w:id="0"/>
      <w:bookmarkEnd w:id="1"/>
      <w:r>
        <w:rPr>
          <w:rFonts w:hint="eastAsia"/>
        </w:rPr>
        <w:t>的とする。</w:t>
      </w:r>
    </w:p>
    <w:p w14:paraId="6FFE47F4" w14:textId="77777777" w:rsidR="004D0919" w:rsidRDefault="004D0919" w:rsidP="004D0919">
      <w:pPr>
        <w:spacing w:line="360" w:lineRule="atLeast"/>
        <w:ind w:left="1236" w:right="1648"/>
      </w:pPr>
    </w:p>
    <w:p w14:paraId="091B618B" w14:textId="77777777" w:rsidR="004D0919" w:rsidRDefault="004D0919" w:rsidP="004D0919">
      <w:pPr>
        <w:spacing w:line="360" w:lineRule="atLeast"/>
        <w:ind w:left="1236" w:right="1648"/>
      </w:pPr>
      <w:r>
        <w:rPr>
          <w:rFonts w:hint="eastAsia"/>
        </w:rPr>
        <w:t>（処理原則）</w:t>
      </w:r>
    </w:p>
    <w:p w14:paraId="7A79B562"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経理業務は、この規程の定めるところにより処理しなければなら</w:t>
      </w:r>
    </w:p>
    <w:p w14:paraId="2A307108" w14:textId="77777777" w:rsidR="004D0919" w:rsidRDefault="004D0919" w:rsidP="004D0919">
      <w:pPr>
        <w:spacing w:line="360" w:lineRule="atLeast"/>
        <w:ind w:left="2060" w:right="1648"/>
      </w:pPr>
      <w:r>
        <w:rPr>
          <w:rFonts w:hint="eastAsia"/>
        </w:rPr>
        <w:t>ない。ただし、この規程に定めのない事項については、経理部長の指示するところによるものとする。</w:t>
      </w:r>
    </w:p>
    <w:p w14:paraId="1F6D0046" w14:textId="77777777" w:rsidR="004D0919" w:rsidRDefault="004D0919" w:rsidP="004D0919">
      <w:pPr>
        <w:spacing w:line="360" w:lineRule="atLeast"/>
        <w:ind w:left="1236" w:right="1648"/>
      </w:pPr>
    </w:p>
    <w:p w14:paraId="33B03208" w14:textId="77777777" w:rsidR="004D0919" w:rsidRDefault="004D0919" w:rsidP="004D0919">
      <w:pPr>
        <w:spacing w:line="360" w:lineRule="atLeast"/>
        <w:ind w:left="1236" w:right="1648"/>
      </w:pPr>
      <w:r>
        <w:rPr>
          <w:rFonts w:hint="eastAsia"/>
        </w:rPr>
        <w:t>（会計年度）</w:t>
      </w:r>
    </w:p>
    <w:p w14:paraId="097C2404"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会計年度は、定款第○条の規定に基づき、毎年○月○日から翌年</w:t>
      </w:r>
    </w:p>
    <w:p w14:paraId="7A7E6F63" w14:textId="77777777" w:rsidR="004D0919" w:rsidRDefault="004D0919" w:rsidP="004D0919">
      <w:pPr>
        <w:spacing w:line="360" w:lineRule="atLeast"/>
        <w:ind w:left="2060" w:right="1442"/>
      </w:pPr>
      <w:r>
        <w:rPr>
          <w:rFonts w:hint="eastAsia"/>
        </w:rPr>
        <w:t>○月○日までの１年間とし、毎年○月○日から○月○日までを上期、</w:t>
      </w:r>
    </w:p>
    <w:p w14:paraId="5F84232C" w14:textId="77777777" w:rsidR="004D0919" w:rsidRDefault="004D0919" w:rsidP="004D0919">
      <w:pPr>
        <w:spacing w:line="360" w:lineRule="atLeast"/>
        <w:ind w:left="2060" w:right="1648"/>
      </w:pPr>
      <w:r>
        <w:rPr>
          <w:rFonts w:hint="eastAsia"/>
        </w:rPr>
        <w:t>○月○日から翌年○月○日までを下期とする。</w:t>
      </w:r>
    </w:p>
    <w:p w14:paraId="6B4632B6" w14:textId="77777777" w:rsidR="004D0919" w:rsidRDefault="004D0919" w:rsidP="004D0919">
      <w:pPr>
        <w:spacing w:line="360" w:lineRule="atLeast"/>
        <w:ind w:left="1236" w:right="1648"/>
      </w:pPr>
    </w:p>
    <w:p w14:paraId="7F146740" w14:textId="77777777" w:rsidR="004D0919" w:rsidRDefault="004D0919" w:rsidP="004D0919">
      <w:pPr>
        <w:spacing w:line="360" w:lineRule="atLeast"/>
        <w:ind w:left="1236" w:right="1648"/>
      </w:pPr>
      <w:r>
        <w:rPr>
          <w:rFonts w:hint="eastAsia"/>
        </w:rPr>
        <w:t>（会計単位）</w:t>
      </w:r>
    </w:p>
    <w:p w14:paraId="4CC9FB42"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経理は、本社集中会計とし、一の会計単位によるものとする。</w:t>
      </w:r>
    </w:p>
    <w:p w14:paraId="7BB8FA4D" w14:textId="77777777" w:rsidR="004D0919" w:rsidRDefault="004D0919" w:rsidP="004D0919">
      <w:pPr>
        <w:spacing w:line="360" w:lineRule="atLeast"/>
        <w:ind w:left="1236" w:right="1648"/>
      </w:pPr>
    </w:p>
    <w:p w14:paraId="02674853" w14:textId="77777777" w:rsidR="004D0919" w:rsidRDefault="004D0919" w:rsidP="004D0919">
      <w:pPr>
        <w:spacing w:line="360" w:lineRule="atLeast"/>
        <w:ind w:left="1236" w:right="1648"/>
      </w:pPr>
      <w:r>
        <w:rPr>
          <w:rFonts w:hint="eastAsia"/>
        </w:rPr>
        <w:t>（経理業務責任者）</w:t>
      </w:r>
    </w:p>
    <w:p w14:paraId="4F4E3E71"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経理業務責任者は、経理部長とする。</w:t>
      </w:r>
    </w:p>
    <w:p w14:paraId="07BE47ED" w14:textId="77777777" w:rsidR="004D0919" w:rsidRDefault="004D0919" w:rsidP="004D0919">
      <w:pPr>
        <w:spacing w:line="360" w:lineRule="atLeast"/>
        <w:ind w:left="1236" w:right="1648"/>
      </w:pPr>
    </w:p>
    <w:p w14:paraId="29DA1588" w14:textId="77777777" w:rsidR="004D0919" w:rsidRDefault="004D0919" w:rsidP="004D0919">
      <w:pPr>
        <w:spacing w:line="360" w:lineRule="atLeast"/>
        <w:ind w:left="1236" w:right="1648"/>
      </w:pPr>
      <w:r>
        <w:rPr>
          <w:rFonts w:hint="eastAsia"/>
        </w:rPr>
        <w:t>（経理主務者）</w:t>
      </w:r>
    </w:p>
    <w:p w14:paraId="2E78D25B"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経理主務者は、経理課長とする。</w:t>
      </w:r>
    </w:p>
    <w:p w14:paraId="6C2ABFA1" w14:textId="77777777" w:rsidR="004D0919" w:rsidRDefault="004D0919" w:rsidP="004D0919">
      <w:pPr>
        <w:spacing w:line="360" w:lineRule="atLeast"/>
        <w:ind w:left="1854" w:right="1648"/>
      </w:pPr>
      <w:r>
        <w:rPr>
          <w:rFonts w:hint="eastAsia"/>
        </w:rPr>
        <w:t>２．前項の経理主務者は、経理業務に関する目的達成のため、各部門</w:t>
      </w:r>
    </w:p>
    <w:p w14:paraId="3F0663C6" w14:textId="77777777" w:rsidR="004D0919" w:rsidRDefault="004D0919" w:rsidP="004D0919">
      <w:pPr>
        <w:spacing w:line="360" w:lineRule="atLeast"/>
        <w:ind w:left="2060" w:right="1648"/>
      </w:pPr>
      <w:r>
        <w:rPr>
          <w:rFonts w:hint="eastAsia"/>
        </w:rPr>
        <w:t>と緊密に連絡して必要な諸事務を担当するほか、経理業務責任者を補佐し、経理業務を遂行するものとする。</w:t>
      </w:r>
    </w:p>
    <w:p w14:paraId="732E6623" w14:textId="77777777" w:rsidR="004D0919" w:rsidRDefault="004D0919" w:rsidP="004D0919">
      <w:pPr>
        <w:spacing w:line="360" w:lineRule="atLeast"/>
        <w:ind w:left="1236" w:right="1648"/>
      </w:pPr>
    </w:p>
    <w:p w14:paraId="56114A4B" w14:textId="77777777" w:rsidR="004D0919" w:rsidRDefault="004D0919" w:rsidP="004D0919">
      <w:pPr>
        <w:spacing w:line="360" w:lineRule="atLeast"/>
        <w:ind w:left="1236" w:right="1648"/>
      </w:pPr>
      <w:r>
        <w:rPr>
          <w:rFonts w:hint="eastAsia"/>
        </w:rPr>
        <w:t>（帳簿類の保存）</w:t>
      </w:r>
    </w:p>
    <w:p w14:paraId="705C0991"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経理に関する諸帳簿および関係証拠書類の保存期間は、法令の定</w:t>
      </w:r>
    </w:p>
    <w:p w14:paraId="15E7F637" w14:textId="77777777" w:rsidR="004D0919" w:rsidRDefault="004D0919" w:rsidP="004D0919">
      <w:pPr>
        <w:spacing w:line="360" w:lineRule="atLeast"/>
        <w:ind w:left="2060" w:right="1648"/>
      </w:pPr>
      <w:proofErr w:type="gramStart"/>
      <w:r>
        <w:rPr>
          <w:rFonts w:hint="eastAsia"/>
        </w:rPr>
        <w:t>めに</w:t>
      </w:r>
      <w:proofErr w:type="gramEnd"/>
      <w:r>
        <w:rPr>
          <w:rFonts w:hint="eastAsia"/>
        </w:rPr>
        <w:t>基づくものは当該法令の定めに基づき、それ以外のものについては別に定める文書管理規程によるものとする。</w:t>
      </w:r>
    </w:p>
    <w:p w14:paraId="7EDD5D3D" w14:textId="77777777" w:rsidR="004D0919" w:rsidRDefault="004D0919" w:rsidP="004D0919">
      <w:pPr>
        <w:spacing w:line="360" w:lineRule="atLeast"/>
        <w:ind w:left="1236" w:right="1648"/>
      </w:pPr>
    </w:p>
    <w:p w14:paraId="0D4EF562" w14:textId="77777777" w:rsidR="004D0919" w:rsidRDefault="004D0919" w:rsidP="004D0919">
      <w:pPr>
        <w:spacing w:line="360" w:lineRule="atLeast"/>
        <w:ind w:left="1236" w:right="1648"/>
      </w:pPr>
      <w:r>
        <w:rPr>
          <w:rFonts w:hint="eastAsia"/>
        </w:rPr>
        <w:t>（改</w:t>
      </w:r>
      <w:r>
        <w:rPr>
          <w:rFonts w:cs="Times New Roman"/>
        </w:rPr>
        <w:t xml:space="preserve">    </w:t>
      </w:r>
      <w:r>
        <w:rPr>
          <w:rFonts w:hint="eastAsia"/>
        </w:rPr>
        <w:t>廃）</w:t>
      </w:r>
    </w:p>
    <w:p w14:paraId="29286CC5" w14:textId="77777777" w:rsidR="004D0919" w:rsidRDefault="004D0919" w:rsidP="004D0919">
      <w:pPr>
        <w:spacing w:line="360" w:lineRule="atLeast"/>
        <w:ind w:left="1236" w:right="1442"/>
      </w:pPr>
      <w:r>
        <w:rPr>
          <w:rFonts w:cs="Times New Roman"/>
        </w:rPr>
        <w:lastRenderedPageBreak/>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この規程の改廃は、経理部長が立案し、管理本部長と協議のうえ、</w:t>
      </w:r>
    </w:p>
    <w:p w14:paraId="0EE195F0" w14:textId="77777777" w:rsidR="004D0919" w:rsidRDefault="004D0919" w:rsidP="004D0919">
      <w:pPr>
        <w:spacing w:line="360" w:lineRule="atLeast"/>
        <w:ind w:left="2060" w:right="1648"/>
      </w:pPr>
      <w:r>
        <w:rPr>
          <w:rFonts w:hint="eastAsia"/>
        </w:rPr>
        <w:t>社長が決裁する。</w:t>
      </w:r>
    </w:p>
    <w:p w14:paraId="7F41DFE4" w14:textId="77777777" w:rsidR="004D0919" w:rsidRDefault="004D0919" w:rsidP="004D0919">
      <w:pPr>
        <w:spacing w:line="360" w:lineRule="atLeast"/>
        <w:ind w:left="1236" w:right="1648"/>
        <w:rPr>
          <w:rFonts w:hint="eastAsia"/>
        </w:rPr>
      </w:pPr>
    </w:p>
    <w:p w14:paraId="1D372784" w14:textId="77777777" w:rsidR="004D0919" w:rsidRDefault="004D0919" w:rsidP="004D0919">
      <w:pPr>
        <w:spacing w:line="360" w:lineRule="atLeast"/>
        <w:ind w:left="1236" w:right="1648"/>
      </w:pPr>
    </w:p>
    <w:p w14:paraId="67F3A5D4"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勘定科目</w:instrText>
      </w:r>
      <w:r>
        <w:rPr>
          <w:rFonts w:cs="Times New Roman"/>
        </w:rPr>
        <w:instrText>,\d\fo80())</w:instrText>
      </w:r>
      <w:r>
        <w:rPr>
          <w:rFonts w:cs="Times New Roman"/>
        </w:rPr>
        <w:fldChar w:fldCharType="end"/>
      </w:r>
    </w:p>
    <w:p w14:paraId="092D9CAC" w14:textId="77777777" w:rsidR="004D0919" w:rsidRDefault="004D0919" w:rsidP="004D0919">
      <w:pPr>
        <w:spacing w:line="360" w:lineRule="atLeast"/>
        <w:ind w:left="1236" w:right="1648"/>
      </w:pPr>
    </w:p>
    <w:p w14:paraId="35E0201E" w14:textId="77777777" w:rsidR="004D0919" w:rsidRDefault="004D0919" w:rsidP="004D0919">
      <w:pPr>
        <w:spacing w:line="360" w:lineRule="atLeast"/>
        <w:ind w:left="1236" w:right="1648"/>
      </w:pPr>
      <w:r>
        <w:rPr>
          <w:rFonts w:hint="eastAsia"/>
        </w:rPr>
        <w:t>（勘定科目）</w:t>
      </w:r>
    </w:p>
    <w:p w14:paraId="723CEA20" w14:textId="77777777" w:rsidR="004D0919" w:rsidRDefault="004D0919" w:rsidP="004D0919">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勘定科目の取扱いについては、別に定める勘定整理要領によるも</w:t>
      </w:r>
    </w:p>
    <w:p w14:paraId="25EEB58D" w14:textId="77777777" w:rsidR="004D0919" w:rsidRDefault="004D0919" w:rsidP="004D0919">
      <w:pPr>
        <w:spacing w:line="360" w:lineRule="atLeast"/>
        <w:ind w:left="2060" w:right="1648"/>
      </w:pPr>
      <w:r>
        <w:rPr>
          <w:rFonts w:hint="eastAsia"/>
        </w:rPr>
        <w:t>のとする。</w:t>
      </w:r>
    </w:p>
    <w:p w14:paraId="51B7B9AA" w14:textId="77777777" w:rsidR="004D0919" w:rsidRDefault="004D0919" w:rsidP="004D0919">
      <w:pPr>
        <w:spacing w:line="360" w:lineRule="atLeast"/>
        <w:ind w:left="1236" w:right="1648"/>
      </w:pPr>
    </w:p>
    <w:p w14:paraId="105A87A0" w14:textId="77777777" w:rsidR="004D0919" w:rsidRDefault="004D0919" w:rsidP="004D0919">
      <w:pPr>
        <w:spacing w:line="360" w:lineRule="atLeast"/>
        <w:ind w:left="1236" w:right="1648"/>
      </w:pPr>
    </w:p>
    <w:p w14:paraId="7C11C8EF"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hint="eastAsia"/>
        </w:rPr>
        <w:t>会計伝票および帳簿</w:t>
      </w:r>
    </w:p>
    <w:p w14:paraId="5156616C" w14:textId="77777777" w:rsidR="004D0919" w:rsidRDefault="004D0919" w:rsidP="004D0919">
      <w:pPr>
        <w:spacing w:line="360" w:lineRule="atLeast"/>
        <w:ind w:left="1236" w:right="1648"/>
      </w:pPr>
    </w:p>
    <w:p w14:paraId="79E45BF3" w14:textId="77777777" w:rsidR="004D0919" w:rsidRDefault="004D0919" w:rsidP="004D0919">
      <w:pPr>
        <w:spacing w:line="360" w:lineRule="atLeast"/>
        <w:ind w:left="1236" w:right="1648"/>
      </w:pPr>
      <w:r>
        <w:rPr>
          <w:rFonts w:hint="eastAsia"/>
        </w:rPr>
        <w:t>（会計伝票）</w:t>
      </w:r>
    </w:p>
    <w:p w14:paraId="48A872D0" w14:textId="77777777" w:rsidR="004D0919" w:rsidRDefault="004D0919" w:rsidP="004D0919">
      <w:pPr>
        <w:spacing w:line="360" w:lineRule="atLeast"/>
        <w:ind w:left="1236" w:right="1442"/>
      </w:pPr>
      <w:r>
        <w:rPr>
          <w:rFonts w:hint="eastAsia"/>
        </w:rPr>
        <w:t>第１０条</w:t>
      </w:r>
      <w:r>
        <w:rPr>
          <w:rFonts w:cs="Times New Roman"/>
        </w:rPr>
        <w:t xml:space="preserve">  </w:t>
      </w:r>
      <w:r>
        <w:rPr>
          <w:rFonts w:hint="eastAsia"/>
        </w:rPr>
        <w:t>取引は、原則として会計伝票に表示し、これに基づいて整理する。</w:t>
      </w:r>
    </w:p>
    <w:p w14:paraId="01496105" w14:textId="77777777" w:rsidR="004D0919" w:rsidRDefault="004D0919" w:rsidP="004D0919">
      <w:pPr>
        <w:spacing w:line="360" w:lineRule="atLeast"/>
        <w:ind w:left="2060" w:right="1648"/>
      </w:pPr>
      <w:r>
        <w:rPr>
          <w:rFonts w:hint="eastAsia"/>
        </w:rPr>
        <w:t>ただし、機械計算による自動仕訳の場合は、自動仕訳明細表をもってこれに代えることができる。</w:t>
      </w:r>
    </w:p>
    <w:p w14:paraId="771BACEB" w14:textId="77777777" w:rsidR="004D0919" w:rsidRDefault="004D0919" w:rsidP="004D0919">
      <w:pPr>
        <w:spacing w:line="360" w:lineRule="atLeast"/>
        <w:ind w:left="1854" w:right="1648"/>
      </w:pPr>
      <w:r>
        <w:rPr>
          <w:rFonts w:hint="eastAsia"/>
        </w:rPr>
        <w:t>２．会計伝票の種類は次のとおりとする。</w:t>
      </w:r>
    </w:p>
    <w:p w14:paraId="7BC5A4BC" w14:textId="77777777" w:rsidR="004D0919" w:rsidRDefault="004D0919" w:rsidP="004D0919">
      <w:pPr>
        <w:spacing w:line="360" w:lineRule="atLeast"/>
        <w:ind w:left="2266" w:right="1648"/>
      </w:pPr>
      <w:r>
        <w:rPr>
          <w:rFonts w:hint="eastAsia"/>
        </w:rPr>
        <w:t>①</w:t>
      </w:r>
      <w:r>
        <w:rPr>
          <w:rFonts w:cs="Times New Roman"/>
        </w:rPr>
        <w:t xml:space="preserve">  </w:t>
      </w:r>
      <w:r>
        <w:rPr>
          <w:rFonts w:hint="eastAsia"/>
        </w:rPr>
        <w:t>入金伝票</w:t>
      </w:r>
    </w:p>
    <w:p w14:paraId="684DC54B" w14:textId="77777777" w:rsidR="004D0919" w:rsidRDefault="004D0919" w:rsidP="004D0919">
      <w:pPr>
        <w:spacing w:line="360" w:lineRule="atLeast"/>
        <w:ind w:left="2266" w:right="1648"/>
      </w:pPr>
      <w:r>
        <w:rPr>
          <w:rFonts w:hint="eastAsia"/>
        </w:rPr>
        <w:t>②</w:t>
      </w:r>
      <w:r>
        <w:rPr>
          <w:rFonts w:cs="Times New Roman"/>
        </w:rPr>
        <w:t xml:space="preserve">  </w:t>
      </w:r>
      <w:r>
        <w:rPr>
          <w:rFonts w:hint="eastAsia"/>
        </w:rPr>
        <w:t>出金伝票</w:t>
      </w:r>
    </w:p>
    <w:p w14:paraId="0A96B7F9" w14:textId="77777777" w:rsidR="004D0919" w:rsidRDefault="004D0919" w:rsidP="004D0919">
      <w:pPr>
        <w:spacing w:line="360" w:lineRule="atLeast"/>
        <w:ind w:left="2266" w:right="1648"/>
      </w:pPr>
      <w:r>
        <w:rPr>
          <w:rFonts w:hint="eastAsia"/>
        </w:rPr>
        <w:t>③</w:t>
      </w:r>
      <w:r>
        <w:rPr>
          <w:rFonts w:cs="Times New Roman"/>
        </w:rPr>
        <w:t xml:space="preserve">  </w:t>
      </w:r>
      <w:r>
        <w:rPr>
          <w:rFonts w:hint="eastAsia"/>
        </w:rPr>
        <w:t>振替伝票</w:t>
      </w:r>
    </w:p>
    <w:p w14:paraId="531C8A3F" w14:textId="77777777" w:rsidR="004D0919" w:rsidRDefault="004D0919" w:rsidP="004D0919">
      <w:pPr>
        <w:spacing w:line="360" w:lineRule="atLeast"/>
        <w:ind w:left="1236" w:right="1648"/>
      </w:pPr>
      <w:r>
        <w:rPr>
          <w:rFonts w:cs="Times New Roman"/>
        </w:rPr>
        <w:t xml:space="preserve">      </w:t>
      </w:r>
      <w:r>
        <w:rPr>
          <w:rFonts w:hint="eastAsia"/>
        </w:rPr>
        <w:t>３．前項の入金伝票および出金伝票は、振替伝票に代えることができ</w:t>
      </w:r>
      <w:r>
        <w:rPr>
          <w:rFonts w:cs="Times New Roman"/>
        </w:rPr>
        <w:t xml:space="preserve">        </w:t>
      </w:r>
      <w:proofErr w:type="gramStart"/>
      <w:r>
        <w:rPr>
          <w:rFonts w:hint="eastAsia"/>
        </w:rPr>
        <w:t>る</w:t>
      </w:r>
      <w:proofErr w:type="gramEnd"/>
      <w:r>
        <w:rPr>
          <w:rFonts w:hint="eastAsia"/>
        </w:rPr>
        <w:t>ものとする。</w:t>
      </w:r>
    </w:p>
    <w:p w14:paraId="08F074F9" w14:textId="77777777" w:rsidR="004D0919" w:rsidRDefault="004D0919" w:rsidP="004D0919">
      <w:pPr>
        <w:spacing w:line="360" w:lineRule="atLeast"/>
        <w:ind w:left="1236" w:right="1648"/>
      </w:pPr>
    </w:p>
    <w:p w14:paraId="0BC41F05" w14:textId="77777777" w:rsidR="004D0919" w:rsidRDefault="004D0919" w:rsidP="004D0919">
      <w:pPr>
        <w:spacing w:line="360" w:lineRule="atLeast"/>
        <w:ind w:left="1236" w:right="1648"/>
      </w:pPr>
      <w:r>
        <w:rPr>
          <w:rFonts w:hint="eastAsia"/>
        </w:rPr>
        <w:t>（会計帳簿）</w:t>
      </w:r>
    </w:p>
    <w:p w14:paraId="7DE6BCE2" w14:textId="77777777" w:rsidR="004D0919" w:rsidRDefault="004D0919" w:rsidP="004D0919">
      <w:pPr>
        <w:spacing w:line="360" w:lineRule="atLeast"/>
        <w:ind w:left="1236" w:right="1648"/>
      </w:pPr>
      <w:r>
        <w:rPr>
          <w:rFonts w:hint="eastAsia"/>
        </w:rPr>
        <w:t>第１１条</w:t>
      </w:r>
      <w:r>
        <w:rPr>
          <w:rFonts w:cs="Times New Roman"/>
        </w:rPr>
        <w:t xml:space="preserve">  </w:t>
      </w:r>
      <w:r>
        <w:rPr>
          <w:rFonts w:hint="eastAsia"/>
        </w:rPr>
        <w:t>帳簿は、仕訳日記帳・総勘定元帳および補助簿とし、その取扱い</w:t>
      </w:r>
    </w:p>
    <w:p w14:paraId="17E9218A" w14:textId="77777777" w:rsidR="004D0919" w:rsidRDefault="004D0919" w:rsidP="004D0919">
      <w:pPr>
        <w:spacing w:line="360" w:lineRule="atLeast"/>
        <w:ind w:left="2060" w:right="1648"/>
      </w:pPr>
      <w:r>
        <w:rPr>
          <w:rFonts w:hint="eastAsia"/>
        </w:rPr>
        <w:t>は次のとおりとする。</w:t>
      </w:r>
    </w:p>
    <w:p w14:paraId="65B87349" w14:textId="77777777" w:rsidR="004D0919" w:rsidRDefault="004D0919" w:rsidP="004D0919">
      <w:pPr>
        <w:spacing w:line="360" w:lineRule="atLeast"/>
        <w:ind w:left="1854" w:right="1648"/>
      </w:pPr>
      <w:r>
        <w:rPr>
          <w:rFonts w:cs="Times New Roman"/>
        </w:rPr>
        <w:t xml:space="preserve"> (</w:t>
      </w:r>
      <w:r>
        <w:rPr>
          <w:rFonts w:hint="eastAsia"/>
        </w:rPr>
        <w:t>１</w:t>
      </w:r>
      <w:r>
        <w:rPr>
          <w:rFonts w:cs="Times New Roman"/>
        </w:rPr>
        <w:t xml:space="preserve">) </w:t>
      </w:r>
      <w:r>
        <w:rPr>
          <w:rFonts w:hint="eastAsia"/>
        </w:rPr>
        <w:t>仕訳日記帳は、１日の総取引金額を表に仕訳したもので、会計</w:t>
      </w:r>
    </w:p>
    <w:p w14:paraId="702BB4A6" w14:textId="77777777" w:rsidR="004D0919" w:rsidRDefault="004D0919" w:rsidP="004D0919">
      <w:pPr>
        <w:spacing w:line="360" w:lineRule="atLeast"/>
        <w:ind w:left="2472" w:right="1442"/>
      </w:pPr>
      <w:r>
        <w:rPr>
          <w:rFonts w:hint="eastAsia"/>
        </w:rPr>
        <w:t>伝票および仕訳をもとに機械計算により作成する。</w:t>
      </w:r>
    </w:p>
    <w:p w14:paraId="57BE2B2E" w14:textId="77777777" w:rsidR="004D0919" w:rsidRDefault="004D0919" w:rsidP="004D0919">
      <w:pPr>
        <w:spacing w:line="360" w:lineRule="atLeast"/>
        <w:ind w:left="1854" w:right="1648"/>
      </w:pPr>
      <w:r>
        <w:rPr>
          <w:rFonts w:cs="Times New Roman"/>
        </w:rPr>
        <w:t xml:space="preserve"> (</w:t>
      </w:r>
      <w:r>
        <w:rPr>
          <w:rFonts w:hint="eastAsia"/>
        </w:rPr>
        <w:t>２</w:t>
      </w:r>
      <w:r>
        <w:rPr>
          <w:rFonts w:cs="Times New Roman"/>
        </w:rPr>
        <w:t xml:space="preserve">) </w:t>
      </w:r>
      <w:r>
        <w:rPr>
          <w:rFonts w:hint="eastAsia"/>
        </w:rPr>
        <w:t>総勘定元帳は、</w:t>
      </w:r>
      <w:proofErr w:type="gramStart"/>
      <w:r>
        <w:rPr>
          <w:rFonts w:hint="eastAsia"/>
        </w:rPr>
        <w:t>各</w:t>
      </w:r>
      <w:proofErr w:type="gramEnd"/>
      <w:r>
        <w:rPr>
          <w:rFonts w:hint="eastAsia"/>
        </w:rPr>
        <w:t>勘定科目</w:t>
      </w:r>
      <w:proofErr w:type="gramStart"/>
      <w:r>
        <w:rPr>
          <w:rFonts w:hint="eastAsia"/>
        </w:rPr>
        <w:t>ごと</w:t>
      </w:r>
      <w:proofErr w:type="gramEnd"/>
      <w:r>
        <w:rPr>
          <w:rFonts w:hint="eastAsia"/>
        </w:rPr>
        <w:t>に口座を設けて機械計算により</w:t>
      </w:r>
    </w:p>
    <w:p w14:paraId="358B6CB0" w14:textId="77777777" w:rsidR="004D0919" w:rsidRDefault="004D0919" w:rsidP="004D0919">
      <w:pPr>
        <w:spacing w:line="360" w:lineRule="atLeast"/>
        <w:ind w:left="2472" w:right="1648"/>
      </w:pPr>
      <w:r>
        <w:rPr>
          <w:rFonts w:hint="eastAsia"/>
        </w:rPr>
        <w:t>作成する。</w:t>
      </w:r>
    </w:p>
    <w:p w14:paraId="40D561C5" w14:textId="77777777" w:rsidR="004D0919" w:rsidRDefault="004D0919" w:rsidP="004D0919">
      <w:pPr>
        <w:spacing w:line="360" w:lineRule="atLeast"/>
        <w:ind w:left="1854" w:right="1648"/>
      </w:pPr>
      <w:r>
        <w:rPr>
          <w:rFonts w:cs="Times New Roman"/>
        </w:rPr>
        <w:t xml:space="preserve"> (</w:t>
      </w:r>
      <w:r>
        <w:rPr>
          <w:rFonts w:hint="eastAsia"/>
        </w:rPr>
        <w:t>３</w:t>
      </w:r>
      <w:r>
        <w:rPr>
          <w:rFonts w:cs="Times New Roman"/>
        </w:rPr>
        <w:t xml:space="preserve">) </w:t>
      </w:r>
      <w:r>
        <w:rPr>
          <w:rFonts w:hint="eastAsia"/>
        </w:rPr>
        <w:t>補助簿は、取引の内容を日付順に詳細に表わしたもので、機械</w:t>
      </w:r>
    </w:p>
    <w:p w14:paraId="5514A77E" w14:textId="77777777" w:rsidR="004D0919" w:rsidRDefault="004D0919" w:rsidP="004D0919">
      <w:pPr>
        <w:spacing w:line="360" w:lineRule="atLeast"/>
        <w:ind w:left="2472" w:right="1648"/>
      </w:pPr>
      <w:r>
        <w:rPr>
          <w:rFonts w:hint="eastAsia"/>
        </w:rPr>
        <w:t>計算により作成することを原則とするほか、手書記入による作成も防げないものとする。</w:t>
      </w:r>
    </w:p>
    <w:p w14:paraId="146A8051" w14:textId="77777777" w:rsidR="004D0919" w:rsidRDefault="004D0919" w:rsidP="004D0919">
      <w:pPr>
        <w:spacing w:line="360" w:lineRule="atLeast"/>
        <w:ind w:left="1236" w:right="1648"/>
      </w:pPr>
    </w:p>
    <w:p w14:paraId="54C95A59" w14:textId="77777777" w:rsidR="004D0919" w:rsidRDefault="004D0919" w:rsidP="004D0919">
      <w:pPr>
        <w:spacing w:line="360" w:lineRule="atLeast"/>
        <w:ind w:left="1236" w:right="1648"/>
      </w:pPr>
      <w:r>
        <w:rPr>
          <w:rFonts w:hint="eastAsia"/>
        </w:rPr>
        <w:t>（起票・記帳の要領）</w:t>
      </w:r>
    </w:p>
    <w:p w14:paraId="4B9BE7A4" w14:textId="77777777" w:rsidR="004D0919" w:rsidRDefault="004D0919" w:rsidP="004D0919">
      <w:pPr>
        <w:spacing w:line="360" w:lineRule="atLeast"/>
        <w:ind w:left="1236" w:right="1648"/>
      </w:pPr>
      <w:r>
        <w:rPr>
          <w:rFonts w:hint="eastAsia"/>
        </w:rPr>
        <w:t>第１２条</w:t>
      </w:r>
      <w:r>
        <w:rPr>
          <w:rFonts w:cs="Times New Roman"/>
        </w:rPr>
        <w:t xml:space="preserve">  </w:t>
      </w:r>
      <w:r>
        <w:rPr>
          <w:rFonts w:hint="eastAsia"/>
        </w:rPr>
        <w:t>経理事務に関する起票・記帳の要領は、別に定める経理事務要領</w:t>
      </w:r>
    </w:p>
    <w:p w14:paraId="37125A37" w14:textId="77777777" w:rsidR="004D0919" w:rsidRDefault="004D0919" w:rsidP="004D0919">
      <w:pPr>
        <w:spacing w:line="360" w:lineRule="atLeast"/>
        <w:ind w:left="2060" w:right="1648"/>
      </w:pPr>
      <w:r>
        <w:rPr>
          <w:rFonts w:hint="eastAsia"/>
        </w:rPr>
        <w:t>によるものとする。</w:t>
      </w:r>
    </w:p>
    <w:p w14:paraId="561BCF70" w14:textId="77777777" w:rsidR="004D0919" w:rsidRDefault="004D0919" w:rsidP="004D0919">
      <w:pPr>
        <w:spacing w:line="360" w:lineRule="atLeast"/>
        <w:ind w:left="1236" w:right="1648"/>
      </w:pPr>
    </w:p>
    <w:p w14:paraId="03F1E544" w14:textId="77777777" w:rsidR="004D0919" w:rsidRDefault="004D0919" w:rsidP="004D0919">
      <w:pPr>
        <w:spacing w:line="360" w:lineRule="atLeast"/>
        <w:ind w:left="1236" w:right="1648"/>
      </w:pPr>
    </w:p>
    <w:p w14:paraId="71F5128E"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金銭出納会計</w:instrText>
      </w:r>
      <w:r>
        <w:rPr>
          <w:rFonts w:cs="Times New Roman"/>
        </w:rPr>
        <w:instrText>,\d\fo80())</w:instrText>
      </w:r>
      <w:r>
        <w:rPr>
          <w:rFonts w:cs="Times New Roman"/>
        </w:rPr>
        <w:fldChar w:fldCharType="end"/>
      </w:r>
    </w:p>
    <w:p w14:paraId="61D5BBE8" w14:textId="77777777" w:rsidR="004D0919" w:rsidRDefault="004D0919" w:rsidP="004D0919">
      <w:pPr>
        <w:spacing w:line="360" w:lineRule="atLeast"/>
        <w:ind w:left="1236" w:right="1648"/>
      </w:pPr>
    </w:p>
    <w:p w14:paraId="5F96A9E4" w14:textId="77777777" w:rsidR="004D0919" w:rsidRDefault="004D0919" w:rsidP="004D0919">
      <w:pPr>
        <w:spacing w:line="360" w:lineRule="atLeast"/>
        <w:ind w:left="1236" w:right="1648"/>
      </w:pPr>
      <w:r>
        <w:rPr>
          <w:rFonts w:hint="eastAsia"/>
        </w:rPr>
        <w:t>（金銭出納）</w:t>
      </w:r>
    </w:p>
    <w:p w14:paraId="32007E46" w14:textId="77777777" w:rsidR="004D0919" w:rsidRDefault="004D0919" w:rsidP="004D0919">
      <w:pPr>
        <w:spacing w:line="360" w:lineRule="atLeast"/>
        <w:ind w:left="1236" w:right="1648"/>
      </w:pPr>
      <w:r>
        <w:rPr>
          <w:rFonts w:hint="eastAsia"/>
        </w:rPr>
        <w:t>第１３条</w:t>
      </w:r>
      <w:r>
        <w:rPr>
          <w:rFonts w:cs="Times New Roman"/>
        </w:rPr>
        <w:t xml:space="preserve">  </w:t>
      </w:r>
      <w:r>
        <w:rPr>
          <w:rFonts w:hint="eastAsia"/>
        </w:rPr>
        <w:t>金銭出納の取扱いについては、別に定める金銭出納事務要領に</w:t>
      </w:r>
      <w:proofErr w:type="gramStart"/>
      <w:r>
        <w:rPr>
          <w:rFonts w:hint="eastAsia"/>
        </w:rPr>
        <w:t>よ</w:t>
      </w:r>
      <w:proofErr w:type="gramEnd"/>
    </w:p>
    <w:p w14:paraId="57F9133A" w14:textId="77777777" w:rsidR="004D0919" w:rsidRDefault="004D0919" w:rsidP="004D0919">
      <w:pPr>
        <w:spacing w:line="360" w:lineRule="atLeast"/>
        <w:ind w:left="2060" w:right="1648"/>
      </w:pPr>
      <w:r>
        <w:rPr>
          <w:rFonts w:hint="eastAsia"/>
        </w:rPr>
        <w:t>るものとする。</w:t>
      </w:r>
    </w:p>
    <w:p w14:paraId="09638312" w14:textId="77777777" w:rsidR="004D0919" w:rsidRDefault="004D0919" w:rsidP="004D0919">
      <w:pPr>
        <w:spacing w:line="360" w:lineRule="atLeast"/>
        <w:ind w:left="1236" w:right="1648"/>
        <w:rPr>
          <w:rFonts w:hint="eastAsia"/>
        </w:rPr>
      </w:pPr>
    </w:p>
    <w:p w14:paraId="49A80BB3" w14:textId="77777777" w:rsidR="004D0919" w:rsidRDefault="004D0919" w:rsidP="004D0919">
      <w:pPr>
        <w:spacing w:line="360" w:lineRule="atLeast"/>
        <w:ind w:left="1236" w:right="1648"/>
      </w:pPr>
    </w:p>
    <w:p w14:paraId="4ED5BAC7"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５</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資金会計</w:instrText>
      </w:r>
      <w:r>
        <w:rPr>
          <w:rFonts w:cs="Times New Roman"/>
        </w:rPr>
        <w:instrText>,\d\fo80())</w:instrText>
      </w:r>
      <w:r>
        <w:rPr>
          <w:rFonts w:cs="Times New Roman"/>
        </w:rPr>
        <w:fldChar w:fldCharType="end"/>
      </w:r>
    </w:p>
    <w:p w14:paraId="786B3B95" w14:textId="77777777" w:rsidR="004D0919" w:rsidRDefault="004D0919" w:rsidP="004D0919">
      <w:pPr>
        <w:spacing w:line="360" w:lineRule="atLeast"/>
        <w:ind w:left="1236" w:right="1648"/>
      </w:pPr>
    </w:p>
    <w:p w14:paraId="44D9B46C" w14:textId="77777777" w:rsidR="004D0919" w:rsidRDefault="004D0919" w:rsidP="004D0919">
      <w:pPr>
        <w:spacing w:line="360" w:lineRule="atLeast"/>
        <w:ind w:left="1236" w:right="1648"/>
      </w:pPr>
      <w:r>
        <w:rPr>
          <w:rFonts w:hint="eastAsia"/>
        </w:rPr>
        <w:t>（資金会計）</w:t>
      </w:r>
    </w:p>
    <w:p w14:paraId="6EEB5F49" w14:textId="77777777" w:rsidR="004D0919" w:rsidRDefault="004D0919" w:rsidP="004D0919">
      <w:pPr>
        <w:spacing w:line="360" w:lineRule="atLeast"/>
        <w:ind w:left="1236" w:right="1648"/>
      </w:pPr>
      <w:r>
        <w:rPr>
          <w:rFonts w:hint="eastAsia"/>
        </w:rPr>
        <w:t>第１４条</w:t>
      </w:r>
      <w:r>
        <w:rPr>
          <w:rFonts w:cs="Times New Roman"/>
        </w:rPr>
        <w:t xml:space="preserve">  </w:t>
      </w:r>
      <w:r>
        <w:rPr>
          <w:rFonts w:hint="eastAsia"/>
        </w:rPr>
        <w:t>資金会計の取扱いについては、別に定める資金会計要領によるも</w:t>
      </w:r>
    </w:p>
    <w:p w14:paraId="56B35B5E" w14:textId="77777777" w:rsidR="004D0919" w:rsidRDefault="004D0919" w:rsidP="004D0919">
      <w:pPr>
        <w:spacing w:line="360" w:lineRule="atLeast"/>
        <w:ind w:left="2060" w:right="1648"/>
      </w:pPr>
      <w:r>
        <w:rPr>
          <w:rFonts w:hint="eastAsia"/>
        </w:rPr>
        <w:t>のとする。</w:t>
      </w:r>
    </w:p>
    <w:p w14:paraId="39C51C0F" w14:textId="77777777" w:rsidR="004D0919" w:rsidRDefault="004D0919" w:rsidP="004D0919">
      <w:pPr>
        <w:spacing w:line="360" w:lineRule="atLeast"/>
        <w:ind w:left="1236" w:right="1648"/>
      </w:pPr>
    </w:p>
    <w:p w14:paraId="59D24F67" w14:textId="77777777" w:rsidR="004D0919" w:rsidRDefault="004D0919" w:rsidP="004D0919">
      <w:pPr>
        <w:spacing w:line="360" w:lineRule="atLeast"/>
        <w:ind w:left="1236" w:right="1648"/>
      </w:pPr>
    </w:p>
    <w:p w14:paraId="743D0818"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６</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仕入会計</w:instrText>
      </w:r>
      <w:r>
        <w:rPr>
          <w:rFonts w:cs="Times New Roman"/>
        </w:rPr>
        <w:instrText>,\d\fo80())</w:instrText>
      </w:r>
      <w:r>
        <w:rPr>
          <w:rFonts w:cs="Times New Roman"/>
        </w:rPr>
        <w:fldChar w:fldCharType="end"/>
      </w:r>
    </w:p>
    <w:p w14:paraId="646C6D37" w14:textId="77777777" w:rsidR="004D0919" w:rsidRDefault="004D0919" w:rsidP="004D0919">
      <w:pPr>
        <w:spacing w:line="360" w:lineRule="atLeast"/>
        <w:ind w:left="1236" w:right="1648"/>
      </w:pPr>
    </w:p>
    <w:p w14:paraId="2EA6B16C" w14:textId="77777777" w:rsidR="004D0919" w:rsidRDefault="004D0919" w:rsidP="004D0919">
      <w:pPr>
        <w:spacing w:line="360" w:lineRule="atLeast"/>
        <w:ind w:left="1236" w:right="1648"/>
      </w:pPr>
      <w:r>
        <w:rPr>
          <w:rFonts w:hint="eastAsia"/>
        </w:rPr>
        <w:t>（仕入会計）</w:t>
      </w:r>
    </w:p>
    <w:p w14:paraId="4BF138ED" w14:textId="77777777" w:rsidR="004D0919" w:rsidRDefault="004D0919" w:rsidP="004D0919">
      <w:pPr>
        <w:spacing w:line="360" w:lineRule="atLeast"/>
        <w:ind w:left="1236" w:right="1648"/>
      </w:pPr>
      <w:r>
        <w:rPr>
          <w:rFonts w:hint="eastAsia"/>
        </w:rPr>
        <w:t>第１５条</w:t>
      </w:r>
      <w:r>
        <w:rPr>
          <w:rFonts w:cs="Times New Roman"/>
        </w:rPr>
        <w:t xml:space="preserve">  </w:t>
      </w:r>
      <w:r>
        <w:rPr>
          <w:rFonts w:hint="eastAsia"/>
        </w:rPr>
        <w:t>仕入会計の取扱いについては、別の定める仕入会計要領によるも</w:t>
      </w:r>
    </w:p>
    <w:p w14:paraId="0021BAE3" w14:textId="77777777" w:rsidR="004D0919" w:rsidRDefault="004D0919" w:rsidP="004D0919">
      <w:pPr>
        <w:spacing w:line="360" w:lineRule="atLeast"/>
        <w:ind w:left="2060" w:right="1648"/>
      </w:pPr>
      <w:r>
        <w:rPr>
          <w:rFonts w:hint="eastAsia"/>
        </w:rPr>
        <w:t>のとする。</w:t>
      </w:r>
    </w:p>
    <w:p w14:paraId="290B4153" w14:textId="77777777" w:rsidR="004D0919" w:rsidRDefault="004D0919" w:rsidP="004D0919">
      <w:pPr>
        <w:spacing w:line="360" w:lineRule="atLeast"/>
        <w:ind w:left="1236" w:right="1648"/>
      </w:pPr>
    </w:p>
    <w:p w14:paraId="2FD5E319" w14:textId="77777777" w:rsidR="004D0919" w:rsidRDefault="004D0919" w:rsidP="004D0919">
      <w:pPr>
        <w:spacing w:line="360" w:lineRule="atLeast"/>
        <w:ind w:left="1236" w:right="1648"/>
      </w:pPr>
    </w:p>
    <w:p w14:paraId="3B76050F"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７</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たな卸資産会計</w:instrText>
      </w:r>
      <w:r>
        <w:rPr>
          <w:rFonts w:cs="Times New Roman"/>
        </w:rPr>
        <w:instrText>,\d\fo80())</w:instrText>
      </w:r>
      <w:r>
        <w:rPr>
          <w:rFonts w:cs="Times New Roman"/>
        </w:rPr>
        <w:fldChar w:fldCharType="end"/>
      </w:r>
    </w:p>
    <w:p w14:paraId="39ACD529" w14:textId="77777777" w:rsidR="004D0919" w:rsidRDefault="004D0919" w:rsidP="004D0919">
      <w:pPr>
        <w:spacing w:line="360" w:lineRule="atLeast"/>
        <w:ind w:left="1236" w:right="1648"/>
      </w:pPr>
    </w:p>
    <w:p w14:paraId="367A4F07" w14:textId="77777777" w:rsidR="004D0919" w:rsidRDefault="004D0919" w:rsidP="004D0919">
      <w:pPr>
        <w:spacing w:line="360" w:lineRule="atLeast"/>
        <w:ind w:left="1236" w:right="1648"/>
      </w:pPr>
      <w:r>
        <w:rPr>
          <w:rFonts w:hint="eastAsia"/>
        </w:rPr>
        <w:t>（たな卸資産会計）</w:t>
      </w:r>
    </w:p>
    <w:p w14:paraId="0D367DD0" w14:textId="77777777" w:rsidR="004D0919" w:rsidRDefault="004D0919" w:rsidP="004D0919">
      <w:pPr>
        <w:spacing w:line="360" w:lineRule="atLeast"/>
        <w:ind w:left="1236" w:right="1648"/>
      </w:pPr>
      <w:r>
        <w:rPr>
          <w:rFonts w:hint="eastAsia"/>
        </w:rPr>
        <w:t>第１６条</w:t>
      </w:r>
      <w:r>
        <w:rPr>
          <w:rFonts w:cs="Times New Roman"/>
        </w:rPr>
        <w:t xml:space="preserve">  </w:t>
      </w:r>
      <w:r>
        <w:rPr>
          <w:rFonts w:hint="eastAsia"/>
        </w:rPr>
        <w:t>たな卸資産会計の取扱いについては、別に定めるたな卸資産会計</w:t>
      </w:r>
    </w:p>
    <w:p w14:paraId="7E8545DD" w14:textId="77777777" w:rsidR="004D0919" w:rsidRDefault="004D0919" w:rsidP="004D0919">
      <w:pPr>
        <w:spacing w:line="360" w:lineRule="atLeast"/>
        <w:ind w:left="2060" w:right="1648"/>
      </w:pPr>
      <w:r>
        <w:rPr>
          <w:rFonts w:hint="eastAsia"/>
        </w:rPr>
        <w:t>要領によるものとする。</w:t>
      </w:r>
    </w:p>
    <w:p w14:paraId="59D61D0E" w14:textId="77777777" w:rsidR="004D0919" w:rsidRDefault="004D0919" w:rsidP="004D0919">
      <w:pPr>
        <w:spacing w:line="360" w:lineRule="atLeast"/>
        <w:ind w:left="1236" w:right="1648"/>
      </w:pPr>
    </w:p>
    <w:p w14:paraId="06257FFA" w14:textId="77777777" w:rsidR="004D0919" w:rsidRDefault="004D0919" w:rsidP="004D0919">
      <w:pPr>
        <w:spacing w:line="360" w:lineRule="atLeast"/>
        <w:ind w:left="1236" w:right="1648"/>
      </w:pPr>
    </w:p>
    <w:p w14:paraId="67AB3DC9"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８</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売上会計</w:instrText>
      </w:r>
      <w:r>
        <w:rPr>
          <w:rFonts w:cs="Times New Roman"/>
        </w:rPr>
        <w:instrText>,\d\fo80())</w:instrText>
      </w:r>
      <w:r>
        <w:rPr>
          <w:rFonts w:cs="Times New Roman"/>
        </w:rPr>
        <w:fldChar w:fldCharType="end"/>
      </w:r>
    </w:p>
    <w:p w14:paraId="2F6E290E" w14:textId="77777777" w:rsidR="004D0919" w:rsidRDefault="004D0919" w:rsidP="004D0919">
      <w:pPr>
        <w:spacing w:line="360" w:lineRule="atLeast"/>
        <w:ind w:left="1236" w:right="1648"/>
      </w:pPr>
    </w:p>
    <w:p w14:paraId="3029BA2E" w14:textId="77777777" w:rsidR="004D0919" w:rsidRDefault="004D0919" w:rsidP="004D0919">
      <w:pPr>
        <w:spacing w:line="360" w:lineRule="atLeast"/>
        <w:ind w:left="1236" w:right="1648"/>
      </w:pPr>
      <w:r>
        <w:rPr>
          <w:rFonts w:hint="eastAsia"/>
        </w:rPr>
        <w:t>（売上会計）</w:t>
      </w:r>
    </w:p>
    <w:p w14:paraId="4BD8441D" w14:textId="77777777" w:rsidR="004D0919" w:rsidRDefault="004D0919" w:rsidP="004D0919">
      <w:pPr>
        <w:spacing w:line="360" w:lineRule="atLeast"/>
        <w:ind w:left="1236" w:right="1648"/>
      </w:pPr>
      <w:r>
        <w:rPr>
          <w:rFonts w:hint="eastAsia"/>
        </w:rPr>
        <w:t>第１７条</w:t>
      </w:r>
      <w:r>
        <w:rPr>
          <w:rFonts w:cs="Times New Roman"/>
        </w:rPr>
        <w:t xml:space="preserve">  </w:t>
      </w:r>
      <w:r>
        <w:rPr>
          <w:rFonts w:hint="eastAsia"/>
        </w:rPr>
        <w:t>売上会計の取扱いについては、別に定める売上会計要領によるも</w:t>
      </w:r>
    </w:p>
    <w:p w14:paraId="42B9D85D" w14:textId="77777777" w:rsidR="004D0919" w:rsidRDefault="004D0919" w:rsidP="004D0919">
      <w:pPr>
        <w:spacing w:line="360" w:lineRule="atLeast"/>
        <w:ind w:left="2060" w:right="1648"/>
      </w:pPr>
      <w:r>
        <w:rPr>
          <w:rFonts w:hint="eastAsia"/>
        </w:rPr>
        <w:t>のとする。</w:t>
      </w:r>
    </w:p>
    <w:p w14:paraId="6EAE3ABA" w14:textId="77777777" w:rsidR="004D0919" w:rsidRDefault="004D0919" w:rsidP="004D0919">
      <w:pPr>
        <w:spacing w:line="360" w:lineRule="atLeast"/>
        <w:ind w:left="1236" w:right="1648"/>
      </w:pPr>
    </w:p>
    <w:p w14:paraId="2D0FF4B2" w14:textId="77777777" w:rsidR="004D0919" w:rsidRDefault="004D0919" w:rsidP="004D0919">
      <w:pPr>
        <w:spacing w:line="360" w:lineRule="atLeast"/>
        <w:ind w:left="1236" w:right="1648"/>
      </w:pPr>
    </w:p>
    <w:p w14:paraId="582B25B5" w14:textId="77777777" w:rsidR="004D0919" w:rsidRDefault="004D0919" w:rsidP="004D0919">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９</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固定資産会計</w:instrText>
      </w:r>
      <w:r>
        <w:rPr>
          <w:rFonts w:cs="Times New Roman"/>
        </w:rPr>
        <w:instrText>,\d\fo80())</w:instrText>
      </w:r>
      <w:r>
        <w:rPr>
          <w:rFonts w:cs="Times New Roman"/>
        </w:rPr>
        <w:fldChar w:fldCharType="end"/>
      </w:r>
    </w:p>
    <w:p w14:paraId="0A5270D1" w14:textId="77777777" w:rsidR="004D0919" w:rsidRDefault="004D0919" w:rsidP="004D0919">
      <w:pPr>
        <w:spacing w:line="360" w:lineRule="atLeast"/>
        <w:ind w:left="1236" w:right="1648"/>
      </w:pPr>
    </w:p>
    <w:p w14:paraId="17BEB029" w14:textId="77777777" w:rsidR="004D0919" w:rsidRDefault="004D0919" w:rsidP="004D0919">
      <w:pPr>
        <w:spacing w:line="360" w:lineRule="atLeast"/>
        <w:ind w:left="1236" w:right="1648"/>
      </w:pPr>
      <w:r>
        <w:rPr>
          <w:rFonts w:hint="eastAsia"/>
        </w:rPr>
        <w:t>（固定資産会計）</w:t>
      </w:r>
    </w:p>
    <w:p w14:paraId="0978CB25" w14:textId="77777777" w:rsidR="004D0919" w:rsidRDefault="004D0919" w:rsidP="004D0919">
      <w:pPr>
        <w:spacing w:line="360" w:lineRule="atLeast"/>
        <w:ind w:left="1236" w:right="1648"/>
      </w:pPr>
      <w:r>
        <w:rPr>
          <w:rFonts w:hint="eastAsia"/>
        </w:rPr>
        <w:lastRenderedPageBreak/>
        <w:t>第１８条</w:t>
      </w:r>
      <w:r>
        <w:rPr>
          <w:rFonts w:cs="Times New Roman"/>
        </w:rPr>
        <w:t xml:space="preserve">  </w:t>
      </w:r>
      <w:r>
        <w:rPr>
          <w:rFonts w:hint="eastAsia"/>
        </w:rPr>
        <w:t>固定資産会計の取扱いについては、別に定める固定資産会計要領</w:t>
      </w:r>
    </w:p>
    <w:p w14:paraId="7A161165" w14:textId="77777777" w:rsidR="004D0919" w:rsidRDefault="004D0919" w:rsidP="004D0919">
      <w:pPr>
        <w:spacing w:line="360" w:lineRule="atLeast"/>
        <w:ind w:left="2060" w:right="1648"/>
      </w:pPr>
      <w:r>
        <w:rPr>
          <w:rFonts w:hint="eastAsia"/>
        </w:rPr>
        <w:t>によるものとする。</w:t>
      </w:r>
    </w:p>
    <w:p w14:paraId="3BA6506B" w14:textId="77777777" w:rsidR="004D0919" w:rsidRDefault="004D0919" w:rsidP="004D0919">
      <w:pPr>
        <w:spacing w:line="360" w:lineRule="atLeast"/>
        <w:ind w:left="1236" w:right="1648"/>
      </w:pPr>
    </w:p>
    <w:p w14:paraId="7667F51B" w14:textId="77777777" w:rsidR="004D0919" w:rsidRDefault="004D0919" w:rsidP="004D0919">
      <w:pPr>
        <w:spacing w:line="360" w:lineRule="atLeast"/>
        <w:ind w:left="1236" w:right="1648"/>
      </w:pPr>
    </w:p>
    <w:p w14:paraId="0D32FDA7" w14:textId="77777777" w:rsidR="004D0919" w:rsidRDefault="004D0919" w:rsidP="004D0919">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第１０章</w:instrText>
      </w:r>
      <w:r>
        <w:rPr>
          <w:rFonts w:cs="Times New Roman"/>
        </w:rPr>
        <w:instrText>,\d\fo50())</w:instrText>
      </w:r>
      <w:r>
        <w:rPr>
          <w:rFonts w:cs="Times New Roman"/>
        </w:rPr>
        <w:fldChar w:fldCharType="end"/>
      </w:r>
      <w:r>
        <w:rPr>
          <w:rFonts w:cs="Times New Roman"/>
        </w:rPr>
        <w:t xml:space="preserve">      </w:t>
      </w:r>
      <w:r>
        <w:rPr>
          <w:rFonts w:cs="Times New Roman"/>
        </w:rPr>
        <w:fldChar w:fldCharType="begin"/>
      </w:r>
      <w:r>
        <w:rPr>
          <w:rFonts w:cs="Times New Roman"/>
        </w:rPr>
        <w:instrText>eq \o\ad(</w:instrText>
      </w:r>
      <w:r>
        <w:rPr>
          <w:rFonts w:hint="eastAsia"/>
        </w:rPr>
        <w:instrText>決算会計</w:instrText>
      </w:r>
      <w:r>
        <w:rPr>
          <w:rFonts w:cs="Times New Roman"/>
        </w:rPr>
        <w:instrText>,\d\fo80())</w:instrText>
      </w:r>
      <w:r>
        <w:rPr>
          <w:rFonts w:cs="Times New Roman"/>
        </w:rPr>
        <w:fldChar w:fldCharType="end"/>
      </w:r>
    </w:p>
    <w:p w14:paraId="7839B86C" w14:textId="77777777" w:rsidR="004D0919" w:rsidRDefault="004D0919" w:rsidP="004D0919">
      <w:pPr>
        <w:spacing w:line="360" w:lineRule="atLeast"/>
        <w:ind w:left="1236" w:right="1648"/>
      </w:pPr>
    </w:p>
    <w:p w14:paraId="5964EF62" w14:textId="77777777" w:rsidR="004D0919" w:rsidRDefault="004D0919" w:rsidP="004D0919">
      <w:pPr>
        <w:spacing w:line="360" w:lineRule="atLeast"/>
        <w:ind w:left="1236" w:right="1648"/>
      </w:pPr>
      <w:r>
        <w:rPr>
          <w:rFonts w:hint="eastAsia"/>
        </w:rPr>
        <w:t>（決算会計）</w:t>
      </w:r>
    </w:p>
    <w:p w14:paraId="10406F07" w14:textId="77777777" w:rsidR="004D0919" w:rsidRDefault="004D0919" w:rsidP="004D0919">
      <w:pPr>
        <w:spacing w:line="360" w:lineRule="atLeast"/>
        <w:ind w:left="1236" w:right="1648"/>
      </w:pPr>
      <w:r>
        <w:rPr>
          <w:rFonts w:hint="eastAsia"/>
        </w:rPr>
        <w:t>第１９条</w:t>
      </w:r>
      <w:r>
        <w:rPr>
          <w:rFonts w:cs="Times New Roman"/>
        </w:rPr>
        <w:t xml:space="preserve">  </w:t>
      </w:r>
      <w:r>
        <w:rPr>
          <w:rFonts w:hint="eastAsia"/>
        </w:rPr>
        <w:t>決算会計の取扱いについては、別に定める決算会計要領によるも</w:t>
      </w:r>
    </w:p>
    <w:p w14:paraId="12F00CA7" w14:textId="77777777" w:rsidR="004D0919" w:rsidRDefault="004D0919" w:rsidP="004D0919">
      <w:pPr>
        <w:spacing w:line="360" w:lineRule="atLeast"/>
        <w:ind w:left="2060" w:right="1648"/>
      </w:pPr>
      <w:r>
        <w:rPr>
          <w:rFonts w:hint="eastAsia"/>
        </w:rPr>
        <w:t>のとする。</w:t>
      </w:r>
    </w:p>
    <w:p w14:paraId="1E22237C" w14:textId="77777777" w:rsidR="004D0919" w:rsidRDefault="004D0919" w:rsidP="004D0919">
      <w:pPr>
        <w:spacing w:line="360" w:lineRule="atLeast"/>
        <w:ind w:left="1236" w:right="1648"/>
        <w:rPr>
          <w:rFonts w:cs="Times New Roman" w:hint="eastAsia"/>
        </w:rPr>
      </w:pPr>
    </w:p>
    <w:p w14:paraId="1EB80418" w14:textId="77777777" w:rsidR="004D0919" w:rsidRDefault="004D0919" w:rsidP="004D0919">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第１１章</w:instrText>
      </w:r>
      <w:r>
        <w:rPr>
          <w:rFonts w:cs="Times New Roman"/>
        </w:rPr>
        <w:instrText>,\d\fo50())</w:instrText>
      </w:r>
      <w:r>
        <w:rPr>
          <w:rFonts w:cs="Times New Roman"/>
        </w:rPr>
        <w:fldChar w:fldCharType="end"/>
      </w:r>
      <w:r>
        <w:rPr>
          <w:rFonts w:cs="Times New Roman"/>
        </w:rPr>
        <w:t xml:space="preserve">      </w:t>
      </w:r>
      <w:r>
        <w:rPr>
          <w:rFonts w:cs="Times New Roman"/>
        </w:rPr>
        <w:fldChar w:fldCharType="begin"/>
      </w:r>
      <w:r>
        <w:rPr>
          <w:rFonts w:cs="Times New Roman"/>
        </w:rPr>
        <w:instrText>eq \o\ad(</w:instrText>
      </w:r>
      <w:r>
        <w:rPr>
          <w:rFonts w:hint="eastAsia"/>
        </w:rPr>
        <w:instrText>予算管理</w:instrText>
      </w:r>
      <w:r>
        <w:rPr>
          <w:rFonts w:cs="Times New Roman"/>
        </w:rPr>
        <w:instrText>,\d\fo80())</w:instrText>
      </w:r>
      <w:r>
        <w:rPr>
          <w:rFonts w:cs="Times New Roman"/>
        </w:rPr>
        <w:fldChar w:fldCharType="end"/>
      </w:r>
    </w:p>
    <w:p w14:paraId="1481E177" w14:textId="77777777" w:rsidR="004D0919" w:rsidRDefault="004D0919" w:rsidP="004D0919">
      <w:pPr>
        <w:spacing w:line="360" w:lineRule="atLeast"/>
        <w:ind w:left="1236" w:right="1648"/>
      </w:pPr>
    </w:p>
    <w:p w14:paraId="55B3566A" w14:textId="77777777" w:rsidR="004D0919" w:rsidRDefault="004D0919" w:rsidP="004D0919">
      <w:pPr>
        <w:spacing w:line="360" w:lineRule="atLeast"/>
        <w:ind w:left="1236" w:right="1648"/>
      </w:pPr>
      <w:r>
        <w:rPr>
          <w:rFonts w:hint="eastAsia"/>
        </w:rPr>
        <w:t>（予算管理）</w:t>
      </w:r>
    </w:p>
    <w:p w14:paraId="5C070596" w14:textId="77777777" w:rsidR="004D0919" w:rsidRDefault="004D0919" w:rsidP="004D0919">
      <w:pPr>
        <w:spacing w:line="360" w:lineRule="atLeast"/>
        <w:ind w:left="1236" w:right="1648"/>
      </w:pPr>
      <w:r>
        <w:rPr>
          <w:rFonts w:hint="eastAsia"/>
        </w:rPr>
        <w:t>第２０条</w:t>
      </w:r>
      <w:r>
        <w:rPr>
          <w:rFonts w:cs="Times New Roman"/>
        </w:rPr>
        <w:t xml:space="preserve">  </w:t>
      </w:r>
      <w:r>
        <w:rPr>
          <w:rFonts w:hint="eastAsia"/>
        </w:rPr>
        <w:t>予算管理に関する事項については、別に定める予算管理規程に</w:t>
      </w:r>
      <w:proofErr w:type="gramStart"/>
      <w:r>
        <w:rPr>
          <w:rFonts w:hint="eastAsia"/>
        </w:rPr>
        <w:t>よ</w:t>
      </w:r>
      <w:proofErr w:type="gramEnd"/>
    </w:p>
    <w:p w14:paraId="146E269C" w14:textId="77777777" w:rsidR="004D0919" w:rsidRDefault="004D0919" w:rsidP="004D0919">
      <w:pPr>
        <w:spacing w:line="360" w:lineRule="atLeast"/>
        <w:ind w:left="2060" w:right="1648"/>
      </w:pPr>
      <w:r>
        <w:rPr>
          <w:rFonts w:hint="eastAsia"/>
        </w:rPr>
        <w:t>るものとする。</w:t>
      </w:r>
    </w:p>
    <w:p w14:paraId="60CBDD5A" w14:textId="77777777" w:rsidR="004D0919" w:rsidRDefault="004D0919" w:rsidP="004D0919">
      <w:pPr>
        <w:spacing w:line="360" w:lineRule="atLeast"/>
        <w:ind w:left="1236" w:right="1648"/>
      </w:pPr>
    </w:p>
    <w:p w14:paraId="07F7A5C2" w14:textId="77777777" w:rsidR="004D0919" w:rsidRDefault="004D0919" w:rsidP="004D0919">
      <w:pPr>
        <w:spacing w:line="360" w:lineRule="atLeast"/>
        <w:ind w:left="1236" w:right="1648"/>
      </w:pPr>
      <w:r>
        <w:rPr>
          <w:rFonts w:hint="eastAsia"/>
        </w:rPr>
        <w:t>（付</w:t>
      </w:r>
      <w:r>
        <w:rPr>
          <w:rFonts w:cs="Times New Roman"/>
        </w:rPr>
        <w:t xml:space="preserve">    </w:t>
      </w:r>
      <w:r>
        <w:rPr>
          <w:rFonts w:hint="eastAsia"/>
        </w:rPr>
        <w:t>則）</w:t>
      </w:r>
    </w:p>
    <w:p w14:paraId="429EB1B5" w14:textId="22E24446" w:rsidR="004D0919" w:rsidRDefault="004D0919" w:rsidP="004D0919">
      <w:pPr>
        <w:spacing w:line="360" w:lineRule="atLeast"/>
        <w:ind w:left="1854" w:right="1648"/>
      </w:pPr>
      <w:r>
        <w:rPr>
          <w:rFonts w:cs="Times New Roman"/>
        </w:rPr>
        <w:t xml:space="preserve">    </w:t>
      </w:r>
      <w:r>
        <w:rPr>
          <w:rFonts w:hint="eastAsia"/>
        </w:rPr>
        <w:t>この規程は、</w:t>
      </w:r>
      <w:r w:rsidR="00E203A3">
        <w:rPr>
          <w:rFonts w:hint="eastAsia"/>
        </w:rPr>
        <w:t>令和</w:t>
      </w:r>
      <w:r>
        <w:rPr>
          <w:rFonts w:hint="eastAsia"/>
        </w:rPr>
        <w:t>○年○月○日から施行する。</w:t>
      </w:r>
    </w:p>
    <w:sectPr w:rsidR="004D0919">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F943" w14:textId="77777777" w:rsidR="001250C6" w:rsidRDefault="001250C6">
      <w:r>
        <w:separator/>
      </w:r>
    </w:p>
  </w:endnote>
  <w:endnote w:type="continuationSeparator" w:id="0">
    <w:p w14:paraId="48003D1A" w14:textId="77777777" w:rsidR="001250C6" w:rsidRDefault="0012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FDB9" w14:textId="77777777" w:rsidR="004D0919" w:rsidRDefault="004D0919">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182A64">
      <w:rPr>
        <w:rFonts w:cs="Times New Roman"/>
        <w:noProof/>
      </w:rPr>
      <w:t>4</w:t>
    </w:r>
    <w:r>
      <w:rPr>
        <w:rFonts w:cs="Times New Roman"/>
      </w:rPr>
      <w:fldChar w:fldCharType="end"/>
    </w:r>
    <w:r>
      <w:rPr>
        <w:rFonts w:cs="Times New Roman"/>
      </w:rPr>
      <w:t xml:space="preserve"> -</w:t>
    </w:r>
  </w:p>
  <w:p w14:paraId="6ACB5DB3" w14:textId="77777777" w:rsidR="004D0919" w:rsidRDefault="004D0919">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4495D" w14:textId="77777777" w:rsidR="001250C6" w:rsidRDefault="001250C6">
      <w:r>
        <w:separator/>
      </w:r>
    </w:p>
  </w:footnote>
  <w:footnote w:type="continuationSeparator" w:id="0">
    <w:p w14:paraId="7673802B" w14:textId="77777777" w:rsidR="001250C6" w:rsidRDefault="0012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DA85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19"/>
    <w:rsid w:val="001250C6"/>
    <w:rsid w:val="00141CB2"/>
    <w:rsid w:val="00182A64"/>
    <w:rsid w:val="001A1255"/>
    <w:rsid w:val="00473B8B"/>
    <w:rsid w:val="00477D09"/>
    <w:rsid w:val="004D0919"/>
    <w:rsid w:val="00907F81"/>
    <w:rsid w:val="00CE4791"/>
    <w:rsid w:val="00D770C2"/>
    <w:rsid w:val="00E203A3"/>
    <w:rsid w:val="00FC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8AF19F1"/>
  <w14:defaultImageDpi w14:val="300"/>
  <w15:chartTrackingRefBased/>
  <w15:docId w15:val="{1322B70E-7E9A-45FC-847D-86668349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919"/>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255"/>
    <w:pPr>
      <w:tabs>
        <w:tab w:val="center" w:pos="4252"/>
        <w:tab w:val="right" w:pos="8504"/>
      </w:tabs>
      <w:snapToGrid w:val="0"/>
    </w:pPr>
  </w:style>
  <w:style w:type="character" w:customStyle="1" w:styleId="a4">
    <w:name w:val="ヘッダー (文字)"/>
    <w:link w:val="a3"/>
    <w:uiPriority w:val="99"/>
    <w:rsid w:val="001A1255"/>
    <w:rPr>
      <w:rFonts w:ascii="Times New Roman" w:hAnsi="Times New Roman" w:cs="ＭＳ 明朝"/>
    </w:rPr>
  </w:style>
  <w:style w:type="paragraph" w:styleId="a5">
    <w:name w:val="footer"/>
    <w:basedOn w:val="a"/>
    <w:link w:val="a6"/>
    <w:uiPriority w:val="99"/>
    <w:unhideWhenUsed/>
    <w:rsid w:val="001A1255"/>
    <w:pPr>
      <w:tabs>
        <w:tab w:val="center" w:pos="4252"/>
        <w:tab w:val="right" w:pos="8504"/>
      </w:tabs>
      <w:snapToGrid w:val="0"/>
    </w:pPr>
  </w:style>
  <w:style w:type="character" w:customStyle="1" w:styleId="a6">
    <w:name w:val="フッター (文字)"/>
    <w:link w:val="a5"/>
    <w:uiPriority w:val="99"/>
    <w:rsid w:val="001A1255"/>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経理規定</vt:lpstr>
    </vt:vector>
  </TitlesOfParts>
  <Manager/>
  <Company/>
  <LinksUpToDate>false</LinksUpToDate>
  <CharactersWithSpaces>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経理規定</dc:title>
  <dc:subject/>
  <dc:creator>t</dc:creator>
  <cp:keywords/>
  <dc:description>経理規程（経理業務についての規程）</dc:description>
  <cp:lastModifiedBy>t</cp:lastModifiedBy>
  <cp:revision>4</cp:revision>
  <cp:lastPrinted>2021-06-20T16:14:00Z</cp:lastPrinted>
  <dcterms:created xsi:type="dcterms:W3CDTF">2021-06-20T16:13:00Z</dcterms:created>
  <dcterms:modified xsi:type="dcterms:W3CDTF">2021-06-20T16:14:00Z</dcterms:modified>
  <cp:category/>
</cp:coreProperties>
</file>