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2B02" w14:textId="77777777" w:rsidR="00870C60" w:rsidRDefault="00870C60" w:rsidP="00870C60">
      <w:pPr>
        <w:spacing w:line="360" w:lineRule="atLeast"/>
        <w:ind w:left="1236" w:right="1648"/>
      </w:pPr>
    </w:p>
    <w:p w14:paraId="0EBBC4F8" w14:textId="77777777" w:rsidR="00870C60" w:rsidRDefault="00870C60" w:rsidP="00870C60">
      <w:pPr>
        <w:spacing w:line="360" w:lineRule="atLeast"/>
        <w:ind w:left="1236" w:right="1648"/>
      </w:pPr>
      <w:r>
        <w:rPr>
          <w:rFonts w:cs="Times New Roman"/>
        </w:rPr>
        <w:t xml:space="preserve">                         </w:t>
      </w:r>
      <w:bookmarkStart w:id="0" w:name="OLE_LINK6"/>
      <w:bookmarkStart w:id="1" w:name="OLE_LINK7"/>
      <w:r>
        <w:rPr>
          <w:rFonts w:cs="Times New Roman"/>
        </w:rPr>
        <w:t xml:space="preserve"> </w:t>
      </w:r>
      <w:r>
        <w:rPr>
          <w:rFonts w:hint="eastAsia"/>
        </w:rPr>
        <w:t>期末実地たな卸要領</w:t>
      </w:r>
      <w:bookmarkEnd w:id="0"/>
      <w:bookmarkEnd w:id="1"/>
    </w:p>
    <w:p w14:paraId="54801E62" w14:textId="77777777" w:rsidR="00870C60" w:rsidRDefault="00870C60" w:rsidP="00870C60">
      <w:pPr>
        <w:spacing w:line="360" w:lineRule="atLeast"/>
        <w:ind w:left="1236" w:right="1648"/>
      </w:pPr>
    </w:p>
    <w:p w14:paraId="521A6998" w14:textId="77777777" w:rsidR="00870C60" w:rsidRDefault="00870C60" w:rsidP="00870C60">
      <w:pPr>
        <w:spacing w:line="360" w:lineRule="atLeast"/>
        <w:ind w:left="1236" w:right="1648"/>
      </w:pPr>
    </w:p>
    <w:p w14:paraId="5A51DDCF" w14:textId="77777777" w:rsidR="00870C60" w:rsidRDefault="00870C60" w:rsidP="00870C60">
      <w:pPr>
        <w:spacing w:line="360" w:lineRule="atLeast"/>
        <w:ind w:left="1236" w:right="1648"/>
      </w:pPr>
      <w:r>
        <w:rPr>
          <w:rFonts w:hint="eastAsia"/>
        </w:rPr>
        <w:t>（目</w:t>
      </w:r>
      <w:r>
        <w:rPr>
          <w:rFonts w:cs="Times New Roman"/>
        </w:rPr>
        <w:t xml:space="preserve">    </w:t>
      </w:r>
      <w:r>
        <w:rPr>
          <w:rFonts w:hint="eastAsia"/>
        </w:rPr>
        <w:t>的）</w:t>
      </w:r>
    </w:p>
    <w:p w14:paraId="11B73621"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この要領は、たな卸資産管理規程に基づき、期末および中間期末</w:t>
      </w:r>
    </w:p>
    <w:p w14:paraId="3CA440FE" w14:textId="77777777" w:rsidR="00870C60" w:rsidRDefault="00870C60" w:rsidP="00870C60">
      <w:pPr>
        <w:spacing w:line="360" w:lineRule="atLeast"/>
        <w:ind w:left="2060" w:right="1442"/>
      </w:pPr>
      <w:r>
        <w:rPr>
          <w:rFonts w:hint="eastAsia"/>
        </w:rPr>
        <w:t>における会社の取扱う商品の実地たな卸を完全に遂行し、関係帳簿</w:t>
      </w:r>
    </w:p>
    <w:p w14:paraId="045E222D" w14:textId="77777777" w:rsidR="00870C60" w:rsidRDefault="00870C60" w:rsidP="00870C60">
      <w:pPr>
        <w:spacing w:line="360" w:lineRule="atLeast"/>
        <w:ind w:left="2060" w:right="1648"/>
      </w:pPr>
      <w:r>
        <w:rPr>
          <w:rFonts w:hint="eastAsia"/>
        </w:rPr>
        <w:t>と照合のうえ、</w:t>
      </w:r>
      <w:bookmarkStart w:id="2" w:name="OLE_LINK8"/>
      <w:bookmarkStart w:id="3" w:name="OLE_LINK9"/>
      <w:r>
        <w:rPr>
          <w:rFonts w:hint="eastAsia"/>
        </w:rPr>
        <w:t>正確な期末および中間期末のたな卸資産を把握する</w:t>
      </w:r>
    </w:p>
    <w:p w14:paraId="2A51B9EB" w14:textId="77777777" w:rsidR="00870C60" w:rsidRDefault="00870C60" w:rsidP="00870C60">
      <w:pPr>
        <w:spacing w:line="360" w:lineRule="atLeast"/>
        <w:ind w:left="1236" w:right="1648"/>
      </w:pPr>
      <w:r>
        <w:rPr>
          <w:rFonts w:cs="Times New Roman"/>
        </w:rPr>
        <w:t xml:space="preserve">        </w:t>
      </w:r>
      <w:r>
        <w:rPr>
          <w:rFonts w:hint="eastAsia"/>
        </w:rPr>
        <w:t>ことを目的と</w:t>
      </w:r>
      <w:bookmarkEnd w:id="2"/>
      <w:bookmarkEnd w:id="3"/>
      <w:r>
        <w:rPr>
          <w:rFonts w:hint="eastAsia"/>
        </w:rPr>
        <w:t>する。</w:t>
      </w:r>
    </w:p>
    <w:p w14:paraId="1C562E3C" w14:textId="77777777" w:rsidR="00870C60" w:rsidRDefault="00870C60" w:rsidP="00870C60">
      <w:pPr>
        <w:spacing w:line="360" w:lineRule="atLeast"/>
        <w:ind w:left="1236" w:right="1648"/>
      </w:pPr>
    </w:p>
    <w:p w14:paraId="313880AD" w14:textId="77777777" w:rsidR="00870C60" w:rsidRDefault="00870C60" w:rsidP="00870C60">
      <w:pPr>
        <w:spacing w:line="360" w:lineRule="atLeast"/>
        <w:ind w:left="1236" w:right="1648"/>
      </w:pPr>
      <w:r>
        <w:rPr>
          <w:rFonts w:hint="eastAsia"/>
        </w:rPr>
        <w:t>（たな卸の範囲）</w:t>
      </w:r>
    </w:p>
    <w:p w14:paraId="5FAD2E42"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たな卸の範囲は、監査団の編成・たな卸の集計・棚札票の配布・</w:t>
      </w:r>
    </w:p>
    <w:p w14:paraId="11D489C6" w14:textId="77777777" w:rsidR="00870C60" w:rsidRDefault="00870C60" w:rsidP="00870C60">
      <w:pPr>
        <w:spacing w:line="360" w:lineRule="atLeast"/>
        <w:ind w:left="2060" w:right="1648"/>
      </w:pPr>
      <w:r>
        <w:rPr>
          <w:rFonts w:hint="eastAsia"/>
        </w:rPr>
        <w:t>現品の計数・棚札票の起票・検印・現品の監査・棚札票の回収・たな卸立会報告書（監査報告書を含む。）の作成・記入の方法・たな卸高の計算方法・関係帳簿との照合および帳票の保管に至るまでの</w:t>
      </w:r>
    </w:p>
    <w:p w14:paraId="21B624B5" w14:textId="77777777" w:rsidR="00870C60" w:rsidRDefault="00870C60" w:rsidP="00870C60">
      <w:pPr>
        <w:spacing w:line="360" w:lineRule="atLeast"/>
        <w:ind w:left="1236" w:right="1648"/>
      </w:pPr>
      <w:r>
        <w:rPr>
          <w:rFonts w:cs="Times New Roman"/>
        </w:rPr>
        <w:t xml:space="preserve">        </w:t>
      </w:r>
      <w:r>
        <w:rPr>
          <w:rFonts w:hint="eastAsia"/>
        </w:rPr>
        <w:t>手続をいうものとする。</w:t>
      </w:r>
    </w:p>
    <w:p w14:paraId="63AAFAEF" w14:textId="77777777" w:rsidR="00870C60" w:rsidRDefault="00870C60" w:rsidP="00870C60">
      <w:pPr>
        <w:spacing w:line="360" w:lineRule="atLeast"/>
        <w:ind w:left="1236" w:right="1648"/>
      </w:pPr>
    </w:p>
    <w:p w14:paraId="31699218"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（監査団）</w:instrText>
      </w:r>
      <w:r>
        <w:rPr>
          <w:rFonts w:cs="Times New Roman"/>
        </w:rPr>
        <w:instrText>,\d\fo60())</w:instrText>
      </w:r>
      <w:r>
        <w:rPr>
          <w:rFonts w:cs="Times New Roman"/>
        </w:rPr>
        <w:fldChar w:fldCharType="end"/>
      </w:r>
    </w:p>
    <w:p w14:paraId="3A167271"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期末および中間期末の実地たな卸は、実査および実地たな卸立会</w:t>
      </w:r>
    </w:p>
    <w:p w14:paraId="0A313D15" w14:textId="77777777" w:rsidR="00870C60" w:rsidRDefault="00870C60" w:rsidP="00870C60">
      <w:pPr>
        <w:spacing w:line="360" w:lineRule="atLeast"/>
        <w:ind w:left="2060" w:right="1648"/>
      </w:pPr>
      <w:r>
        <w:rPr>
          <w:rFonts w:hint="eastAsia"/>
        </w:rPr>
        <w:t>いを実施するため、監査本部および実地監査員からなる監査団を編</w:t>
      </w:r>
    </w:p>
    <w:p w14:paraId="1E0114EA" w14:textId="77777777" w:rsidR="00870C60" w:rsidRDefault="00870C60" w:rsidP="00870C60">
      <w:pPr>
        <w:spacing w:line="360" w:lineRule="atLeast"/>
        <w:ind w:left="1854" w:right="1648"/>
      </w:pPr>
      <w:r>
        <w:rPr>
          <w:rFonts w:cs="Times New Roman"/>
        </w:rPr>
        <w:t xml:space="preserve">  </w:t>
      </w:r>
      <w:r>
        <w:rPr>
          <w:rFonts w:hint="eastAsia"/>
        </w:rPr>
        <w:t>成し、経理部長が統括する。</w:t>
      </w:r>
    </w:p>
    <w:p w14:paraId="2A8C1705" w14:textId="77777777" w:rsidR="00870C60" w:rsidRDefault="00870C60" w:rsidP="00870C60">
      <w:pPr>
        <w:spacing w:line="360" w:lineRule="atLeast"/>
        <w:ind w:left="1854" w:right="1648"/>
      </w:pPr>
      <w:r>
        <w:rPr>
          <w:rFonts w:hint="eastAsia"/>
        </w:rPr>
        <w:t>２．監査本部の構成は次のとおりとする。</w:t>
      </w:r>
    </w:p>
    <w:p w14:paraId="5B5BF5A1" w14:textId="77777777" w:rsidR="00870C60" w:rsidRDefault="00870C60" w:rsidP="00870C60">
      <w:pPr>
        <w:spacing w:line="360" w:lineRule="atLeast"/>
        <w:ind w:left="2266" w:right="1648"/>
      </w:pPr>
      <w:r>
        <w:rPr>
          <w:rFonts w:hint="eastAsia"/>
        </w:rPr>
        <w:t>①</w:t>
      </w:r>
      <w:r>
        <w:rPr>
          <w:rFonts w:cs="Times New Roman"/>
        </w:rPr>
        <w:t xml:space="preserve">  </w:t>
      </w:r>
      <w:r>
        <w:rPr>
          <w:rFonts w:hint="eastAsia"/>
        </w:rPr>
        <w:t>監査本部長</w:t>
      </w:r>
      <w:r>
        <w:rPr>
          <w:rFonts w:cs="Times New Roman"/>
        </w:rPr>
        <w:t xml:space="preserve">          </w:t>
      </w:r>
      <w:r>
        <w:rPr>
          <w:rFonts w:hint="eastAsia"/>
        </w:rPr>
        <w:t>経理部長長</w:t>
      </w:r>
    </w:p>
    <w:p w14:paraId="71EB0105" w14:textId="77777777" w:rsidR="00870C60" w:rsidRDefault="00870C60" w:rsidP="00870C60">
      <w:pPr>
        <w:spacing w:line="360" w:lineRule="atLeast"/>
        <w:ind w:left="1236" w:right="1648"/>
      </w:pPr>
      <w:r>
        <w:rPr>
          <w:rFonts w:cs="Times New Roman"/>
        </w:rPr>
        <w:t xml:space="preserve">          </w:t>
      </w:r>
      <w:r>
        <w:rPr>
          <w:rFonts w:hint="eastAsia"/>
        </w:rPr>
        <w:t>②</w:t>
      </w:r>
      <w:r>
        <w:rPr>
          <w:rFonts w:cs="Times New Roman"/>
        </w:rPr>
        <w:t xml:space="preserve">  </w:t>
      </w:r>
      <w:r>
        <w:rPr>
          <w:rFonts w:hint="eastAsia"/>
        </w:rPr>
        <w:t>実地監査員</w:t>
      </w:r>
      <w:r>
        <w:rPr>
          <w:rFonts w:cs="Times New Roman"/>
        </w:rPr>
        <w:t xml:space="preserve">          </w:t>
      </w:r>
      <w:r>
        <w:rPr>
          <w:rFonts w:hint="eastAsia"/>
        </w:rPr>
        <w:t>監査本部長が氏名した者</w:t>
      </w:r>
    </w:p>
    <w:p w14:paraId="5F930D5B" w14:textId="77777777" w:rsidR="00870C60" w:rsidRDefault="00870C60" w:rsidP="00870C60">
      <w:pPr>
        <w:spacing w:line="360" w:lineRule="atLeast"/>
        <w:ind w:left="1236" w:right="1648"/>
      </w:pPr>
    </w:p>
    <w:p w14:paraId="277455AB" w14:textId="77777777" w:rsidR="00870C60" w:rsidRDefault="00870C60" w:rsidP="00870C60">
      <w:pPr>
        <w:spacing w:line="360" w:lineRule="atLeast"/>
        <w:ind w:left="1236" w:right="1648"/>
      </w:pPr>
      <w:r>
        <w:rPr>
          <w:rFonts w:hint="eastAsia"/>
        </w:rPr>
        <w:t>（たな卸の集計区分）</w:t>
      </w:r>
    </w:p>
    <w:p w14:paraId="35075365"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たな卸の集計区分は別に定める。</w:t>
      </w:r>
    </w:p>
    <w:p w14:paraId="75170E19" w14:textId="77777777" w:rsidR="00870C60" w:rsidRDefault="00870C60" w:rsidP="00870C60">
      <w:pPr>
        <w:spacing w:line="360" w:lineRule="atLeast"/>
        <w:ind w:left="1236" w:right="1648"/>
      </w:pPr>
    </w:p>
    <w:p w14:paraId="1084CF12" w14:textId="77777777" w:rsidR="00870C60" w:rsidRDefault="00870C60" w:rsidP="00870C60">
      <w:pPr>
        <w:spacing w:line="360" w:lineRule="atLeast"/>
        <w:ind w:left="1236" w:right="1648"/>
      </w:pPr>
      <w:r>
        <w:rPr>
          <w:rFonts w:hint="eastAsia"/>
        </w:rPr>
        <w:t>（棚札票の配布）</w:t>
      </w:r>
    </w:p>
    <w:p w14:paraId="52088DED"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実地監査員は、集計区分別棚札票の必要枚数を調査し、棚札票配</w:t>
      </w:r>
    </w:p>
    <w:p w14:paraId="2D399344" w14:textId="77777777" w:rsidR="00870C60" w:rsidRDefault="00870C60" w:rsidP="00870C60">
      <w:pPr>
        <w:spacing w:line="360" w:lineRule="atLeast"/>
        <w:ind w:left="2060" w:right="1648"/>
      </w:pPr>
      <w:r>
        <w:rPr>
          <w:rFonts w:hint="eastAsia"/>
        </w:rPr>
        <w:t>布資料に記入のうえ、各々配布する。ただし、棚札票を必要としな</w:t>
      </w:r>
    </w:p>
    <w:p w14:paraId="14D36D33" w14:textId="77777777" w:rsidR="00870C60" w:rsidRDefault="00870C60" w:rsidP="00870C60">
      <w:pPr>
        <w:spacing w:line="360" w:lineRule="atLeast"/>
        <w:ind w:left="1236" w:right="1648"/>
      </w:pPr>
      <w:r>
        <w:rPr>
          <w:rFonts w:cs="Times New Roman"/>
        </w:rPr>
        <w:t xml:space="preserve">        </w:t>
      </w:r>
      <w:r>
        <w:rPr>
          <w:rFonts w:hint="eastAsia"/>
        </w:rPr>
        <w:t>いたな卸については、この限りでない。</w:t>
      </w:r>
    </w:p>
    <w:p w14:paraId="0E10FAAC" w14:textId="77777777" w:rsidR="00870C60" w:rsidRDefault="00870C60" w:rsidP="00870C60">
      <w:pPr>
        <w:spacing w:line="360" w:lineRule="atLeast"/>
        <w:ind w:left="1236" w:right="1648"/>
      </w:pPr>
    </w:p>
    <w:p w14:paraId="3C6D545A" w14:textId="77777777" w:rsidR="00870C60" w:rsidRDefault="00870C60" w:rsidP="00870C60">
      <w:pPr>
        <w:spacing w:line="360" w:lineRule="atLeast"/>
        <w:ind w:left="1236" w:right="1648"/>
      </w:pPr>
      <w:r>
        <w:rPr>
          <w:rFonts w:hint="eastAsia"/>
        </w:rPr>
        <w:t>（棚札票使用状況明細表の記入）</w:t>
      </w:r>
    </w:p>
    <w:p w14:paraId="4949DF8E"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前条の場合において、実地たな卸時に使用した棚札票は番号順に</w:t>
      </w:r>
    </w:p>
    <w:p w14:paraId="321222C7" w14:textId="77777777" w:rsidR="00870C60" w:rsidRDefault="00870C60" w:rsidP="00870C60">
      <w:pPr>
        <w:spacing w:line="360" w:lineRule="atLeast"/>
        <w:ind w:left="2060" w:right="1648"/>
      </w:pPr>
      <w:r>
        <w:rPr>
          <w:rFonts w:hint="eastAsia"/>
        </w:rPr>
        <w:t>並び、回収もれの有無を確認のうえ、使用枚数・書損じ枚数・未使用枚数・紛失枚数および番号を記入した後、商品管理部へ提出する</w:t>
      </w:r>
    </w:p>
    <w:p w14:paraId="7CCCFE1C" w14:textId="77777777" w:rsidR="00870C60" w:rsidRDefault="00870C60" w:rsidP="00870C60">
      <w:pPr>
        <w:spacing w:line="360" w:lineRule="atLeast"/>
        <w:ind w:left="1236" w:right="1648"/>
      </w:pPr>
      <w:r>
        <w:rPr>
          <w:rFonts w:cs="Times New Roman"/>
        </w:rPr>
        <w:t xml:space="preserve">        </w:t>
      </w:r>
      <w:r>
        <w:rPr>
          <w:rFonts w:hint="eastAsia"/>
        </w:rPr>
        <w:t>ものとする。</w:t>
      </w:r>
    </w:p>
    <w:p w14:paraId="5F3D85DC" w14:textId="77777777" w:rsidR="00870C60" w:rsidRDefault="00870C60" w:rsidP="00870C60">
      <w:pPr>
        <w:spacing w:line="360" w:lineRule="atLeast"/>
        <w:ind w:left="1236" w:right="1648"/>
        <w:rPr>
          <w:rFonts w:hint="eastAsia"/>
        </w:rPr>
      </w:pPr>
    </w:p>
    <w:p w14:paraId="56453558" w14:textId="77777777" w:rsidR="00870C60" w:rsidRDefault="00870C60" w:rsidP="00870C60">
      <w:pPr>
        <w:spacing w:line="360" w:lineRule="atLeast"/>
        <w:ind w:left="1236" w:right="1648"/>
      </w:pPr>
      <w:r>
        <w:rPr>
          <w:rFonts w:hint="eastAsia"/>
        </w:rPr>
        <w:lastRenderedPageBreak/>
        <w:t>（たな卸数の計算準備）</w:t>
      </w:r>
    </w:p>
    <w:p w14:paraId="381C4471"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たな卸数を集計するための準備は、たな卸報告書に当該棚札票か</w:t>
      </w:r>
      <w:r>
        <w:rPr>
          <w:rFonts w:cs="Times New Roman"/>
        </w:rPr>
        <w:t xml:space="preserve">        </w:t>
      </w:r>
      <w:r>
        <w:rPr>
          <w:rFonts w:hint="eastAsia"/>
        </w:rPr>
        <w:t>ら商品別に区分して集計したものを計算する。</w:t>
      </w:r>
    </w:p>
    <w:p w14:paraId="2F7A63DD" w14:textId="77777777" w:rsidR="00870C60" w:rsidRDefault="00870C60" w:rsidP="00870C60">
      <w:pPr>
        <w:spacing w:line="360" w:lineRule="atLeast"/>
        <w:ind w:left="1236" w:right="1648"/>
      </w:pPr>
    </w:p>
    <w:p w14:paraId="0555F3B3" w14:textId="77777777" w:rsidR="00870C60" w:rsidRDefault="00870C60" w:rsidP="00870C60">
      <w:pPr>
        <w:spacing w:line="360" w:lineRule="atLeast"/>
        <w:ind w:right="1648"/>
      </w:pPr>
    </w:p>
    <w:p w14:paraId="4D72C868" w14:textId="77777777" w:rsidR="00870C60" w:rsidRDefault="00870C60" w:rsidP="00870C60">
      <w:pPr>
        <w:spacing w:line="360" w:lineRule="atLeast"/>
        <w:ind w:left="1236" w:right="1648"/>
      </w:pPr>
      <w:r>
        <w:rPr>
          <w:rFonts w:hint="eastAsia"/>
        </w:rPr>
        <w:t>（たな卸数の集計）</w:t>
      </w:r>
    </w:p>
    <w:p w14:paraId="477F2854"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回収されたたな卸報告書およびたな卸集計表は、パンチ処理をし</w:t>
      </w:r>
      <w:r>
        <w:rPr>
          <w:rFonts w:cs="Times New Roman"/>
        </w:rPr>
        <w:t xml:space="preserve">        </w:t>
      </w:r>
      <w:r>
        <w:rPr>
          <w:rFonts w:hint="eastAsia"/>
        </w:rPr>
        <w:t>たうえ、コンピュータにより計算する。</w:t>
      </w:r>
    </w:p>
    <w:p w14:paraId="743B0397" w14:textId="77777777" w:rsidR="00870C60" w:rsidRDefault="00870C60" w:rsidP="00870C60">
      <w:pPr>
        <w:spacing w:line="360" w:lineRule="atLeast"/>
        <w:ind w:left="1236" w:right="1648"/>
      </w:pPr>
    </w:p>
    <w:p w14:paraId="1705B956" w14:textId="77777777" w:rsidR="00870C60" w:rsidRDefault="00870C60" w:rsidP="00870C60">
      <w:pPr>
        <w:spacing w:line="360" w:lineRule="atLeast"/>
        <w:ind w:left="1236" w:right="1648"/>
      </w:pPr>
      <w:r>
        <w:rPr>
          <w:rFonts w:hint="eastAsia"/>
        </w:rPr>
        <w:t>（関係帳簿）</w:t>
      </w:r>
    </w:p>
    <w:p w14:paraId="51A3C6EC" w14:textId="77777777" w:rsidR="00870C60" w:rsidRDefault="00870C60" w:rsidP="00870C60">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実地たな卸と関係帳簿との照合は次の取扱いとする。</w:t>
      </w:r>
    </w:p>
    <w:p w14:paraId="13132BCC" w14:textId="77777777" w:rsidR="00870C60" w:rsidRDefault="00870C60" w:rsidP="00870C60">
      <w:pPr>
        <w:spacing w:line="360" w:lineRule="atLeast"/>
        <w:ind w:left="1854" w:right="1648"/>
      </w:pPr>
      <w:r>
        <w:rPr>
          <w:rFonts w:hint="eastAsia"/>
        </w:rPr>
        <w:t>（１）ＥＤＰ処理によって集計された現品たな卸数は、帳簿の残数と</w:t>
      </w:r>
      <w:r>
        <w:rPr>
          <w:rFonts w:cs="Times New Roman"/>
        </w:rPr>
        <w:t xml:space="preserve">      </w:t>
      </w:r>
      <w:r>
        <w:rPr>
          <w:rFonts w:hint="eastAsia"/>
        </w:rPr>
        <w:t>照合しなければならない。</w:t>
      </w:r>
    </w:p>
    <w:p w14:paraId="6183DF57" w14:textId="77777777" w:rsidR="00870C60" w:rsidRDefault="00870C60" w:rsidP="00870C60">
      <w:pPr>
        <w:spacing w:line="360" w:lineRule="atLeast"/>
        <w:ind w:left="1854" w:right="1648"/>
      </w:pPr>
      <w:r>
        <w:rPr>
          <w:rFonts w:hint="eastAsia"/>
        </w:rPr>
        <w:t>（２）機械計算による帳簿は、ＥＤＰ処理により現品数と帳簿残を照</w:t>
      </w:r>
    </w:p>
    <w:p w14:paraId="1B1BE938" w14:textId="77777777" w:rsidR="00870C60" w:rsidRDefault="00870C60" w:rsidP="00870C60">
      <w:pPr>
        <w:spacing w:line="360" w:lineRule="atLeast"/>
        <w:ind w:left="1854" w:right="1442"/>
      </w:pPr>
      <w:r>
        <w:rPr>
          <w:rFonts w:cs="Times New Roman"/>
        </w:rPr>
        <w:t xml:space="preserve">      </w:t>
      </w:r>
      <w:r>
        <w:rPr>
          <w:rFonts w:hint="eastAsia"/>
        </w:rPr>
        <w:t>合したうえ、期末たな卸差異表を作成する。</w:t>
      </w:r>
    </w:p>
    <w:p w14:paraId="18CED04E" w14:textId="77777777" w:rsidR="00870C60" w:rsidRDefault="00870C60" w:rsidP="00870C60">
      <w:pPr>
        <w:spacing w:line="360" w:lineRule="atLeast"/>
        <w:ind w:left="1854" w:right="1236"/>
      </w:pPr>
      <w:r>
        <w:rPr>
          <w:rFonts w:hint="eastAsia"/>
        </w:rPr>
        <w:t>（３）前各号以外は、各担当部署で手作業にて照合を行うものとする。</w:t>
      </w:r>
    </w:p>
    <w:p w14:paraId="5119F456" w14:textId="77777777" w:rsidR="00870C60" w:rsidRDefault="00870C60" w:rsidP="00870C60">
      <w:pPr>
        <w:spacing w:line="360" w:lineRule="atLeast"/>
        <w:ind w:left="1854" w:right="1648"/>
      </w:pPr>
      <w:r>
        <w:rPr>
          <w:rFonts w:hint="eastAsia"/>
        </w:rPr>
        <w:t>（４）現品残と帳簿残の主要な差異は、各担当部署でその原因を調査</w:t>
      </w:r>
    </w:p>
    <w:p w14:paraId="6BBF6354" w14:textId="77777777" w:rsidR="00870C60" w:rsidRDefault="00870C60" w:rsidP="00870C60">
      <w:pPr>
        <w:spacing w:line="360" w:lineRule="atLeast"/>
        <w:ind w:left="2266" w:right="1648"/>
      </w:pPr>
      <w:r>
        <w:rPr>
          <w:rFonts w:cs="Times New Roman"/>
        </w:rPr>
        <w:t xml:space="preserve">  </w:t>
      </w:r>
      <w:r>
        <w:rPr>
          <w:rFonts w:hint="eastAsia"/>
        </w:rPr>
        <w:t>のうえ、改善点を明確にするとともに、今後の帳簿制度の向上</w:t>
      </w:r>
    </w:p>
    <w:p w14:paraId="2852706C" w14:textId="77777777" w:rsidR="00870C60" w:rsidRDefault="00870C60" w:rsidP="00870C60">
      <w:pPr>
        <w:spacing w:line="360" w:lineRule="atLeast"/>
        <w:ind w:left="1236" w:right="1648"/>
      </w:pPr>
      <w:r>
        <w:rPr>
          <w:rFonts w:cs="Times New Roman"/>
        </w:rPr>
        <w:t xml:space="preserve">            </w:t>
      </w:r>
      <w:r>
        <w:rPr>
          <w:rFonts w:hint="eastAsia"/>
        </w:rPr>
        <w:t>に役立たせるものとする。</w:t>
      </w:r>
    </w:p>
    <w:p w14:paraId="7DAFB014" w14:textId="77777777" w:rsidR="00870C60" w:rsidRDefault="00870C60" w:rsidP="00870C60">
      <w:pPr>
        <w:spacing w:line="360" w:lineRule="atLeast"/>
        <w:ind w:left="1236" w:right="1648"/>
      </w:pPr>
    </w:p>
    <w:p w14:paraId="5802EF18" w14:textId="77777777" w:rsidR="00870C60" w:rsidRDefault="00870C60" w:rsidP="00870C60">
      <w:pPr>
        <w:spacing w:line="360" w:lineRule="atLeast"/>
        <w:ind w:left="1236" w:right="1236"/>
      </w:pPr>
      <w:r>
        <w:rPr>
          <w:rFonts w:hint="eastAsia"/>
        </w:rPr>
        <w:t>（保存期間）</w:t>
      </w:r>
    </w:p>
    <w:p w14:paraId="039B4111" w14:textId="77777777" w:rsidR="00870C60" w:rsidRDefault="00870C60" w:rsidP="00870C60">
      <w:pPr>
        <w:spacing w:line="360" w:lineRule="atLeast"/>
        <w:ind w:left="1236" w:right="1236"/>
      </w:pPr>
      <w:r>
        <w:rPr>
          <w:rFonts w:hint="eastAsia"/>
        </w:rPr>
        <w:t>第１０条</w:t>
      </w:r>
      <w:r>
        <w:rPr>
          <w:rFonts w:cs="Times New Roman"/>
        </w:rPr>
        <w:t xml:space="preserve">  </w:t>
      </w:r>
      <w:r>
        <w:rPr>
          <w:rFonts w:hint="eastAsia"/>
        </w:rPr>
        <w:t>実地たな卸の関係帳簿の保存は、別に定める文書管理規程による。</w:t>
      </w:r>
    </w:p>
    <w:p w14:paraId="761BD861" w14:textId="77777777" w:rsidR="00870C60" w:rsidRDefault="00870C60" w:rsidP="00870C60">
      <w:pPr>
        <w:spacing w:line="360" w:lineRule="atLeast"/>
        <w:ind w:left="1236" w:right="1648"/>
      </w:pPr>
    </w:p>
    <w:p w14:paraId="2548EBB7" w14:textId="77777777" w:rsidR="00870C60" w:rsidRDefault="00870C60" w:rsidP="00870C60">
      <w:pPr>
        <w:spacing w:line="360" w:lineRule="atLeast"/>
        <w:ind w:left="1236" w:right="1648"/>
      </w:pPr>
      <w:r>
        <w:rPr>
          <w:rFonts w:hint="eastAsia"/>
        </w:rPr>
        <w:t>（関連規程）</w:t>
      </w:r>
    </w:p>
    <w:p w14:paraId="7987834D" w14:textId="77777777" w:rsidR="00870C60" w:rsidRDefault="00870C60" w:rsidP="00870C60">
      <w:pPr>
        <w:spacing w:line="360" w:lineRule="atLeast"/>
        <w:ind w:left="1236" w:right="1648"/>
      </w:pPr>
      <w:r>
        <w:rPr>
          <w:rFonts w:hint="eastAsia"/>
        </w:rPr>
        <w:t>第１１条</w:t>
      </w:r>
      <w:r>
        <w:rPr>
          <w:rFonts w:cs="Times New Roman"/>
        </w:rPr>
        <w:t xml:space="preserve">  </w:t>
      </w:r>
      <w:r>
        <w:rPr>
          <w:rFonts w:hint="eastAsia"/>
        </w:rPr>
        <w:t>この要領に定めのない事項については、たな卸資産管理規程およ</w:t>
      </w:r>
    </w:p>
    <w:p w14:paraId="5EC5072C" w14:textId="77777777" w:rsidR="00870C60" w:rsidRDefault="00870C60" w:rsidP="00870C60">
      <w:pPr>
        <w:spacing w:line="360" w:lineRule="atLeast"/>
        <w:ind w:left="2266" w:right="1648"/>
      </w:pPr>
      <w:r>
        <w:rPr>
          <w:rFonts w:hint="eastAsia"/>
        </w:rPr>
        <w:t>び必要に応じて配付する細部のたな卸実施に関する資料によるものとする。</w:t>
      </w:r>
    </w:p>
    <w:p w14:paraId="47B119E5" w14:textId="77777777" w:rsidR="00870C60" w:rsidRDefault="00870C60" w:rsidP="00870C60">
      <w:pPr>
        <w:spacing w:line="360" w:lineRule="atLeast"/>
        <w:ind w:left="1236" w:right="1648"/>
      </w:pPr>
    </w:p>
    <w:p w14:paraId="703B4A25" w14:textId="77777777" w:rsidR="00870C60" w:rsidRDefault="00870C60" w:rsidP="00870C60">
      <w:pPr>
        <w:spacing w:line="360" w:lineRule="atLeast"/>
        <w:ind w:left="1236" w:right="1648"/>
      </w:pPr>
      <w:r>
        <w:rPr>
          <w:rFonts w:hint="eastAsia"/>
        </w:rPr>
        <w:t>（改</w:t>
      </w:r>
      <w:r>
        <w:rPr>
          <w:rFonts w:cs="Times New Roman"/>
        </w:rPr>
        <w:t xml:space="preserve">    </w:t>
      </w:r>
      <w:r>
        <w:rPr>
          <w:rFonts w:hint="eastAsia"/>
        </w:rPr>
        <w:t>廃）</w:t>
      </w:r>
    </w:p>
    <w:p w14:paraId="2D98531F" w14:textId="77777777" w:rsidR="00870C60" w:rsidRDefault="00870C60" w:rsidP="00870C60">
      <w:pPr>
        <w:spacing w:line="360" w:lineRule="atLeast"/>
        <w:ind w:left="1236" w:right="1648"/>
      </w:pPr>
      <w:r>
        <w:rPr>
          <w:rFonts w:hint="eastAsia"/>
        </w:rPr>
        <w:t>第１２条</w:t>
      </w:r>
      <w:r>
        <w:rPr>
          <w:rFonts w:cs="Times New Roman"/>
        </w:rPr>
        <w:t xml:space="preserve">  </w:t>
      </w:r>
      <w:r>
        <w:rPr>
          <w:rFonts w:hint="eastAsia"/>
        </w:rPr>
        <w:t>この要領の改廃は、商品管理部長が立案し、管理本部長と協議の</w:t>
      </w:r>
    </w:p>
    <w:p w14:paraId="47B99278" w14:textId="77777777" w:rsidR="00870C60" w:rsidRDefault="00870C60" w:rsidP="00870C60">
      <w:pPr>
        <w:spacing w:line="360" w:lineRule="atLeast"/>
        <w:ind w:left="2060" w:right="1648"/>
      </w:pPr>
      <w:r>
        <w:rPr>
          <w:rFonts w:hint="eastAsia"/>
        </w:rPr>
        <w:t>うえ、社長が決裁する。</w:t>
      </w:r>
    </w:p>
    <w:p w14:paraId="3534E700" w14:textId="77777777" w:rsidR="00870C60" w:rsidRDefault="00870C60" w:rsidP="00870C60">
      <w:pPr>
        <w:spacing w:line="360" w:lineRule="atLeast"/>
        <w:ind w:left="1236" w:right="1648"/>
      </w:pPr>
    </w:p>
    <w:p w14:paraId="498EC9EF" w14:textId="77777777" w:rsidR="00870C60" w:rsidRDefault="00870C60" w:rsidP="00870C60">
      <w:pPr>
        <w:spacing w:line="360" w:lineRule="atLeast"/>
        <w:ind w:left="1236" w:right="1648"/>
      </w:pPr>
      <w:r>
        <w:rPr>
          <w:rFonts w:hint="eastAsia"/>
        </w:rPr>
        <w:t>（付</w:t>
      </w:r>
      <w:r>
        <w:rPr>
          <w:rFonts w:cs="Times New Roman"/>
        </w:rPr>
        <w:t xml:space="preserve">    </w:t>
      </w:r>
      <w:r>
        <w:rPr>
          <w:rFonts w:hint="eastAsia"/>
        </w:rPr>
        <w:t>則）</w:t>
      </w:r>
    </w:p>
    <w:p w14:paraId="05E5B4FD" w14:textId="334C4800" w:rsidR="00870C60" w:rsidRDefault="00870C60" w:rsidP="00870C60">
      <w:pPr>
        <w:spacing w:line="360" w:lineRule="atLeast"/>
        <w:ind w:left="1854" w:right="1648"/>
      </w:pPr>
      <w:r>
        <w:rPr>
          <w:rFonts w:cs="Times New Roman"/>
        </w:rPr>
        <w:t xml:space="preserve">    </w:t>
      </w:r>
      <w:r>
        <w:rPr>
          <w:rFonts w:hint="eastAsia"/>
        </w:rPr>
        <w:t>この要領は、</w:t>
      </w:r>
      <w:r w:rsidR="00946B34">
        <w:rPr>
          <w:rFonts w:hint="eastAsia"/>
        </w:rPr>
        <w:t>令和</w:t>
      </w:r>
      <w:r>
        <w:rPr>
          <w:rFonts w:hint="eastAsia"/>
        </w:rPr>
        <w:t>○年○月○日から実施する。</w:t>
      </w:r>
    </w:p>
    <w:p w14:paraId="585CF53F" w14:textId="77777777" w:rsidR="00870C60" w:rsidRDefault="00870C60" w:rsidP="00870C60">
      <w:pPr>
        <w:spacing w:line="360" w:lineRule="atLeast"/>
        <w:ind w:left="4326"/>
      </w:pPr>
    </w:p>
    <w:p w14:paraId="01395997" w14:textId="77777777" w:rsidR="00870C60" w:rsidRDefault="00870C60" w:rsidP="00870C60">
      <w:pPr>
        <w:spacing w:line="360" w:lineRule="atLeast"/>
      </w:pPr>
    </w:p>
    <w:p w14:paraId="102EB852" w14:textId="77777777" w:rsidR="00515F8A" w:rsidRDefault="00515F8A"/>
    <w:sectPr w:rsidR="00515F8A">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1FF2" w14:textId="77777777" w:rsidR="00954F93" w:rsidRDefault="00954F93">
      <w:r>
        <w:separator/>
      </w:r>
    </w:p>
  </w:endnote>
  <w:endnote w:type="continuationSeparator" w:id="0">
    <w:p w14:paraId="7306C630" w14:textId="77777777" w:rsidR="00954F93" w:rsidRDefault="0095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8A30" w14:textId="77777777" w:rsidR="00870C60" w:rsidRDefault="00870C60">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907A2E">
      <w:rPr>
        <w:rFonts w:cs="Times New Roman"/>
        <w:noProof/>
      </w:rPr>
      <w:t>2</w:t>
    </w:r>
    <w:r>
      <w:rPr>
        <w:rFonts w:cs="Times New Roman"/>
      </w:rPr>
      <w:fldChar w:fldCharType="end"/>
    </w:r>
    <w:r>
      <w:rPr>
        <w:rFonts w:cs="Times New Roman"/>
      </w:rPr>
      <w:t xml:space="preserve"> -</w:t>
    </w:r>
  </w:p>
  <w:p w14:paraId="04634449" w14:textId="77777777" w:rsidR="00870C60" w:rsidRDefault="00870C60">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D9AF" w14:textId="77777777" w:rsidR="00954F93" w:rsidRDefault="00954F93">
      <w:r>
        <w:separator/>
      </w:r>
    </w:p>
  </w:footnote>
  <w:footnote w:type="continuationSeparator" w:id="0">
    <w:p w14:paraId="3DC7D713" w14:textId="77777777" w:rsidR="00954F93" w:rsidRDefault="0095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069CD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60"/>
    <w:rsid w:val="00515F8A"/>
    <w:rsid w:val="00870C60"/>
    <w:rsid w:val="00907A2E"/>
    <w:rsid w:val="00946B34"/>
    <w:rsid w:val="00954F93"/>
    <w:rsid w:val="00A97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A647D18"/>
  <w14:defaultImageDpi w14:val="300"/>
  <w15:chartTrackingRefBased/>
  <w15:docId w15:val="{7B35B438-5F95-40E1-A38B-0804210F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C60"/>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B34"/>
    <w:pPr>
      <w:tabs>
        <w:tab w:val="center" w:pos="4252"/>
        <w:tab w:val="right" w:pos="8504"/>
      </w:tabs>
      <w:snapToGrid w:val="0"/>
    </w:pPr>
  </w:style>
  <w:style w:type="character" w:customStyle="1" w:styleId="a4">
    <w:name w:val="ヘッダー (文字)"/>
    <w:basedOn w:val="a0"/>
    <w:link w:val="a3"/>
    <w:uiPriority w:val="99"/>
    <w:rsid w:val="00946B34"/>
    <w:rPr>
      <w:rFonts w:ascii="Times New Roman" w:hAnsi="Times New Roman" w:cs="ＭＳ 明朝"/>
    </w:rPr>
  </w:style>
  <w:style w:type="paragraph" w:styleId="a5">
    <w:name w:val="footer"/>
    <w:basedOn w:val="a"/>
    <w:link w:val="a6"/>
    <w:uiPriority w:val="99"/>
    <w:unhideWhenUsed/>
    <w:rsid w:val="00946B34"/>
    <w:pPr>
      <w:tabs>
        <w:tab w:val="center" w:pos="4252"/>
        <w:tab w:val="right" w:pos="8504"/>
      </w:tabs>
      <w:snapToGrid w:val="0"/>
    </w:pPr>
  </w:style>
  <w:style w:type="character" w:customStyle="1" w:styleId="a6">
    <w:name w:val="フッター (文字)"/>
    <w:basedOn w:val="a0"/>
    <w:link w:val="a5"/>
    <w:uiPriority w:val="99"/>
    <w:rsid w:val="00946B34"/>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期末実地たな卸要領</vt:lpstr>
    </vt:vector>
  </TitlesOfParts>
  <Manager/>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期末実地たな卸要領</dc:title>
  <dc:subject/>
  <dc:creator>t</dc:creator>
  <cp:keywords/>
  <dc:description>期末実地たな卸要領（正確な期末・中間期末のたな卸資産を把握する為のもの）</dc:description>
  <cp:lastModifiedBy>t</cp:lastModifiedBy>
  <cp:revision>2</cp:revision>
  <dcterms:created xsi:type="dcterms:W3CDTF">2021-06-20T12:23:00Z</dcterms:created>
  <dcterms:modified xsi:type="dcterms:W3CDTF">2021-06-20T12:23:00Z</dcterms:modified>
  <cp:category/>
</cp:coreProperties>
</file>