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2D418" w14:textId="77777777" w:rsidR="00EB30EC" w:rsidRDefault="00EB30EC" w:rsidP="00EB30EC">
      <w:pPr>
        <w:spacing w:line="360" w:lineRule="atLeast"/>
        <w:ind w:left="1236" w:right="1648"/>
      </w:pPr>
    </w:p>
    <w:p w14:paraId="59FF4C39" w14:textId="77777777" w:rsidR="00EB30EC" w:rsidRDefault="00EB30EC" w:rsidP="00EB30EC">
      <w:pPr>
        <w:spacing w:line="360" w:lineRule="atLeast"/>
        <w:ind w:left="1236" w:right="1648"/>
      </w:pPr>
      <w:r>
        <w:rPr>
          <w:rFonts w:cs="Times New Roman"/>
        </w:rPr>
        <w:t xml:space="preserve">                          </w:t>
      </w:r>
      <w:bookmarkStart w:id="0" w:name="OLE_LINK3"/>
      <w:bookmarkStart w:id="1" w:name="OLE_LINK4"/>
      <w:r>
        <w:rPr>
          <w:rFonts w:hint="eastAsia"/>
        </w:rPr>
        <w:t>たな卸資産会計要領</w:t>
      </w:r>
      <w:bookmarkEnd w:id="0"/>
      <w:bookmarkEnd w:id="1"/>
    </w:p>
    <w:p w14:paraId="321C06B1" w14:textId="77777777" w:rsidR="00EB30EC" w:rsidRDefault="00EB30EC" w:rsidP="00EB30EC">
      <w:pPr>
        <w:spacing w:line="360" w:lineRule="atLeast"/>
        <w:ind w:left="1236" w:right="1648"/>
      </w:pPr>
    </w:p>
    <w:p w14:paraId="783981EC" w14:textId="77777777" w:rsidR="00EB30EC" w:rsidRDefault="00EB30EC" w:rsidP="00EB30EC">
      <w:pPr>
        <w:spacing w:line="360" w:lineRule="atLeast"/>
        <w:ind w:left="1236" w:right="1648"/>
      </w:pPr>
    </w:p>
    <w:p w14:paraId="513A41D4" w14:textId="77777777" w:rsidR="00EB30EC" w:rsidRDefault="00EB30EC" w:rsidP="00EB30EC">
      <w:pPr>
        <w:spacing w:line="360" w:lineRule="atLeast"/>
        <w:ind w:left="1236" w:right="1648"/>
      </w:pPr>
      <w:r>
        <w:rPr>
          <w:rFonts w:hint="eastAsia"/>
        </w:rPr>
        <w:t>（目</w:t>
      </w:r>
      <w:r>
        <w:rPr>
          <w:rFonts w:cs="Times New Roman"/>
        </w:rPr>
        <w:t xml:space="preserve">    </w:t>
      </w:r>
      <w:r>
        <w:rPr>
          <w:rFonts w:hint="eastAsia"/>
        </w:rPr>
        <w:t>的）</w:t>
      </w:r>
    </w:p>
    <w:p w14:paraId="42FC4F09"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この要領は、経理規程第７章第</w:t>
      </w:r>
      <w:r>
        <w:rPr>
          <w:rFonts w:cs="Times New Roman"/>
        </w:rPr>
        <w:t>16</w:t>
      </w:r>
      <w:r>
        <w:rPr>
          <w:rFonts w:hint="eastAsia"/>
        </w:rPr>
        <w:t>条の規定に基づき、たな卸資産</w:t>
      </w:r>
    </w:p>
    <w:p w14:paraId="6470F11F" w14:textId="77777777" w:rsidR="00EB30EC" w:rsidRDefault="00EB30EC" w:rsidP="00EB30EC">
      <w:pPr>
        <w:spacing w:line="360" w:lineRule="atLeast"/>
        <w:ind w:left="2060" w:right="1648"/>
      </w:pPr>
      <w:r>
        <w:rPr>
          <w:rFonts w:hint="eastAsia"/>
        </w:rPr>
        <w:t>会計に関する取扱いを定めたものである。</w:t>
      </w:r>
    </w:p>
    <w:p w14:paraId="5BDF1ED5" w14:textId="77777777" w:rsidR="00EB30EC" w:rsidRDefault="00EB30EC" w:rsidP="00EB30EC">
      <w:pPr>
        <w:spacing w:line="360" w:lineRule="atLeast"/>
        <w:ind w:left="1236" w:right="1648"/>
      </w:pPr>
    </w:p>
    <w:p w14:paraId="19AEB2CA" w14:textId="77777777" w:rsidR="00EB30EC" w:rsidRDefault="00EB30EC" w:rsidP="00EB30EC">
      <w:pPr>
        <w:spacing w:line="360" w:lineRule="atLeast"/>
        <w:ind w:left="1236" w:right="1648"/>
      </w:pPr>
      <w:r>
        <w:rPr>
          <w:rFonts w:hint="eastAsia"/>
        </w:rPr>
        <w:t>（区</w:t>
      </w:r>
      <w:r>
        <w:rPr>
          <w:rFonts w:cs="Times New Roman"/>
        </w:rPr>
        <w:t xml:space="preserve">    </w:t>
      </w:r>
      <w:r>
        <w:rPr>
          <w:rFonts w:hint="eastAsia"/>
        </w:rPr>
        <w:t>分）</w:t>
      </w:r>
    </w:p>
    <w:p w14:paraId="5E0DA7F4"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会社のたな卸資産の対象は、商品とする。</w:t>
      </w:r>
    </w:p>
    <w:p w14:paraId="4CF11ACD" w14:textId="77777777" w:rsidR="00EB30EC" w:rsidRDefault="00EB30EC" w:rsidP="00EB30EC">
      <w:pPr>
        <w:spacing w:line="360" w:lineRule="atLeast"/>
        <w:ind w:left="1236" w:right="1648"/>
      </w:pPr>
    </w:p>
    <w:p w14:paraId="589DF82C"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（受入れ）</w:instrText>
      </w:r>
      <w:r>
        <w:rPr>
          <w:rFonts w:cs="Times New Roman"/>
        </w:rPr>
        <w:instrText>,\d\fo60())</w:instrText>
      </w:r>
      <w:r>
        <w:rPr>
          <w:rFonts w:cs="Times New Roman"/>
        </w:rPr>
        <w:fldChar w:fldCharType="end"/>
      </w:r>
    </w:p>
    <w:p w14:paraId="3F4697AF"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たな卸資産の受入れは、検収基準により確定する。</w:t>
      </w:r>
    </w:p>
    <w:p w14:paraId="1235FD67" w14:textId="77777777" w:rsidR="00EB30EC" w:rsidRDefault="00EB30EC" w:rsidP="00EB30EC">
      <w:pPr>
        <w:spacing w:line="360" w:lineRule="atLeast"/>
        <w:ind w:left="1236" w:right="1648"/>
      </w:pPr>
    </w:p>
    <w:p w14:paraId="3C471051"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（払出し）</w:instrText>
      </w:r>
      <w:r>
        <w:rPr>
          <w:rFonts w:cs="Times New Roman"/>
        </w:rPr>
        <w:instrText>,\d\fo60())</w:instrText>
      </w:r>
      <w:r>
        <w:rPr>
          <w:rFonts w:cs="Times New Roman"/>
        </w:rPr>
        <w:fldChar w:fldCharType="end"/>
      </w:r>
    </w:p>
    <w:p w14:paraId="0D49BA3D"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たな卸資産の払出しは、正規の伝票によるものとする。</w:t>
      </w:r>
    </w:p>
    <w:p w14:paraId="607A5C39" w14:textId="77777777" w:rsidR="00EB30EC" w:rsidRDefault="00EB30EC" w:rsidP="00EB30EC">
      <w:pPr>
        <w:spacing w:line="360" w:lineRule="atLeast"/>
        <w:ind w:left="1236" w:right="1648"/>
      </w:pPr>
    </w:p>
    <w:p w14:paraId="5130DB09" w14:textId="77777777" w:rsidR="00EB30EC" w:rsidRDefault="00EB30EC" w:rsidP="00EB30EC">
      <w:pPr>
        <w:spacing w:line="360" w:lineRule="atLeast"/>
        <w:ind w:left="1236" w:right="1648"/>
      </w:pPr>
      <w:r>
        <w:rPr>
          <w:rFonts w:hint="eastAsia"/>
        </w:rPr>
        <w:t>（返</w:t>
      </w:r>
      <w:r>
        <w:rPr>
          <w:rFonts w:cs="Times New Roman"/>
        </w:rPr>
        <w:t xml:space="preserve">    </w:t>
      </w:r>
      <w:r>
        <w:rPr>
          <w:rFonts w:hint="eastAsia"/>
        </w:rPr>
        <w:t>品）</w:t>
      </w:r>
    </w:p>
    <w:p w14:paraId="5A4FCA6D"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店舗からの返品で、商品センターに返却されたものは、たな卸資</w:t>
      </w:r>
    </w:p>
    <w:p w14:paraId="42158F7D" w14:textId="77777777" w:rsidR="00EB30EC" w:rsidRDefault="00EB30EC" w:rsidP="00EB30EC">
      <w:pPr>
        <w:spacing w:line="360" w:lineRule="atLeast"/>
        <w:ind w:left="2060" w:right="1648"/>
      </w:pPr>
      <w:r>
        <w:rPr>
          <w:rFonts w:hint="eastAsia"/>
        </w:rPr>
        <w:t>産の対象とする。</w:t>
      </w:r>
    </w:p>
    <w:p w14:paraId="502E8AB9" w14:textId="77777777" w:rsidR="00EB30EC" w:rsidRDefault="00EB30EC" w:rsidP="00EB30EC">
      <w:pPr>
        <w:spacing w:line="360" w:lineRule="atLeast"/>
        <w:ind w:left="1236" w:right="1648"/>
      </w:pPr>
    </w:p>
    <w:p w14:paraId="248CACA8" w14:textId="77777777" w:rsidR="00EB30EC" w:rsidRDefault="00EB30EC" w:rsidP="00EB30EC">
      <w:pPr>
        <w:spacing w:line="360" w:lineRule="atLeast"/>
        <w:ind w:left="1236" w:right="1648"/>
      </w:pPr>
      <w:r>
        <w:rPr>
          <w:rFonts w:hint="eastAsia"/>
        </w:rPr>
        <w:t>（帳</w:t>
      </w:r>
      <w:r>
        <w:rPr>
          <w:rFonts w:cs="Times New Roman"/>
        </w:rPr>
        <w:t xml:space="preserve">    </w:t>
      </w:r>
      <w:r>
        <w:rPr>
          <w:rFonts w:hint="eastAsia"/>
        </w:rPr>
        <w:t>簿）</w:t>
      </w:r>
    </w:p>
    <w:p w14:paraId="43C86D84"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保管担当部署は、その保管のたな卸資産について受払のつど帳簿</w:t>
      </w:r>
    </w:p>
    <w:p w14:paraId="7B1E3B8A" w14:textId="77777777" w:rsidR="00EB30EC" w:rsidRDefault="00EB30EC" w:rsidP="00EB30EC">
      <w:pPr>
        <w:spacing w:line="360" w:lineRule="atLeast"/>
        <w:ind w:left="2060" w:right="1648"/>
      </w:pPr>
      <w:r>
        <w:rPr>
          <w:rFonts w:hint="eastAsia"/>
        </w:rPr>
        <w:t>への記載を行い、その在高を明らかにして管理する。</w:t>
      </w:r>
    </w:p>
    <w:p w14:paraId="51DF0E20" w14:textId="77777777" w:rsidR="00EB30EC" w:rsidRDefault="00EB30EC" w:rsidP="00EB30EC">
      <w:pPr>
        <w:spacing w:line="360" w:lineRule="atLeast"/>
        <w:ind w:left="1236" w:right="1648"/>
      </w:pPr>
    </w:p>
    <w:p w14:paraId="752DB82A" w14:textId="77777777" w:rsidR="00EB30EC" w:rsidRDefault="00EB30EC" w:rsidP="00EB30EC">
      <w:pPr>
        <w:spacing w:line="360" w:lineRule="atLeast"/>
        <w:ind w:left="1236" w:right="1648"/>
      </w:pPr>
      <w:r>
        <w:rPr>
          <w:rFonts w:hint="eastAsia"/>
        </w:rPr>
        <w:t>（受払および保管の会計処理）</w:t>
      </w:r>
    </w:p>
    <w:p w14:paraId="75FF1B97"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会計事務に当たる経理部経理課長は、毎月末現在の受払の記録内</w:t>
      </w:r>
    </w:p>
    <w:p w14:paraId="56D26544" w14:textId="77777777" w:rsidR="00EB30EC" w:rsidRDefault="00EB30EC" w:rsidP="00EB30EC">
      <w:pPr>
        <w:spacing w:line="360" w:lineRule="atLeast"/>
        <w:ind w:left="2060" w:right="1648"/>
      </w:pPr>
      <w:r>
        <w:rPr>
          <w:rFonts w:hint="eastAsia"/>
        </w:rPr>
        <w:t>容およびその在高について会計処理を行う。</w:t>
      </w:r>
    </w:p>
    <w:p w14:paraId="6083D3D1" w14:textId="77777777" w:rsidR="00EB30EC" w:rsidRDefault="00EB30EC" w:rsidP="00EB30EC">
      <w:pPr>
        <w:spacing w:line="360" w:lineRule="atLeast"/>
        <w:ind w:left="1236" w:right="1648"/>
      </w:pPr>
    </w:p>
    <w:p w14:paraId="3C61EB44" w14:textId="77777777" w:rsidR="00EB30EC" w:rsidRDefault="00EB30EC" w:rsidP="00EB30EC">
      <w:pPr>
        <w:spacing w:line="360" w:lineRule="atLeast"/>
        <w:ind w:left="1236" w:right="1648"/>
      </w:pPr>
      <w:r>
        <w:rPr>
          <w:rFonts w:hint="eastAsia"/>
        </w:rPr>
        <w:t>（購買価額）</w:t>
      </w:r>
    </w:p>
    <w:p w14:paraId="138B7097"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たな卸資産を購入した場合の購入価額は、購買品については購買</w:t>
      </w:r>
    </w:p>
    <w:p w14:paraId="676AFF02" w14:textId="77777777" w:rsidR="00EB30EC" w:rsidRDefault="00EB30EC" w:rsidP="00EB30EC">
      <w:pPr>
        <w:spacing w:line="360" w:lineRule="atLeast"/>
        <w:ind w:left="2060" w:right="1648"/>
      </w:pPr>
      <w:r>
        <w:rPr>
          <w:rFonts w:hint="eastAsia"/>
        </w:rPr>
        <w:t>価額による。</w:t>
      </w:r>
    </w:p>
    <w:p w14:paraId="0EC5EBBC" w14:textId="77777777" w:rsidR="00EB30EC" w:rsidRDefault="00EB30EC" w:rsidP="00EB30EC">
      <w:pPr>
        <w:spacing w:line="360" w:lineRule="atLeast"/>
        <w:ind w:left="1854" w:right="1648"/>
      </w:pPr>
      <w:r>
        <w:rPr>
          <w:rFonts w:hint="eastAsia"/>
        </w:rPr>
        <w:t>２．前項の場合のほか、検収済で未だ購入単価の決定していないもの</w:t>
      </w:r>
    </w:p>
    <w:p w14:paraId="59F15660" w14:textId="77777777" w:rsidR="00EB30EC" w:rsidRDefault="00EB30EC" w:rsidP="00EB30EC">
      <w:pPr>
        <w:spacing w:line="360" w:lineRule="atLeast"/>
        <w:ind w:left="2060" w:right="1648"/>
      </w:pPr>
      <w:r>
        <w:rPr>
          <w:rFonts w:hint="eastAsia"/>
        </w:rPr>
        <w:t>は、これを仮単価で受入れることができるものとする。</w:t>
      </w:r>
    </w:p>
    <w:p w14:paraId="1A8B7ADE" w14:textId="77777777" w:rsidR="00EB30EC" w:rsidRDefault="00EB30EC" w:rsidP="00EB30EC">
      <w:pPr>
        <w:spacing w:line="360" w:lineRule="atLeast"/>
        <w:ind w:left="1236" w:right="1648"/>
      </w:pPr>
    </w:p>
    <w:p w14:paraId="73F54FE4" w14:textId="77777777" w:rsidR="00EB30EC" w:rsidRDefault="00EB30EC" w:rsidP="00EB30EC">
      <w:pPr>
        <w:spacing w:line="360" w:lineRule="atLeast"/>
        <w:ind w:left="1236" w:right="1648"/>
      </w:pPr>
      <w:r>
        <w:rPr>
          <w:rFonts w:cs="Times New Roman"/>
        </w:rPr>
        <w:fldChar w:fldCharType="begin"/>
      </w:r>
      <w:r>
        <w:rPr>
          <w:rFonts w:cs="Times New Roman"/>
        </w:rPr>
        <w:instrText>eq \o\ad(</w:instrText>
      </w:r>
      <w:r>
        <w:rPr>
          <w:rFonts w:hint="eastAsia"/>
        </w:rPr>
        <w:instrText>（たな卸）</w:instrText>
      </w:r>
      <w:r>
        <w:rPr>
          <w:rFonts w:cs="Times New Roman"/>
        </w:rPr>
        <w:instrText>,\d\fo60())</w:instrText>
      </w:r>
      <w:r>
        <w:rPr>
          <w:rFonts w:cs="Times New Roman"/>
        </w:rPr>
        <w:fldChar w:fldCharType="end"/>
      </w:r>
    </w:p>
    <w:p w14:paraId="2506D557" w14:textId="77777777" w:rsidR="00EB30EC" w:rsidRDefault="00EB30EC" w:rsidP="00EB30EC">
      <w:pPr>
        <w:spacing w:line="360" w:lineRule="atLeast"/>
        <w:ind w:left="1236" w:right="1648"/>
      </w:pPr>
      <w:r>
        <w:rPr>
          <w:rFonts w:hint="eastAsia"/>
        </w:rPr>
        <w:t>第</w:t>
      </w:r>
      <w:r>
        <w:rPr>
          <w:rFonts w:cs="Times New Roman"/>
        </w:rPr>
        <w:t xml:space="preserve">  9 </w:t>
      </w:r>
      <w:r>
        <w:rPr>
          <w:rFonts w:hint="eastAsia"/>
        </w:rPr>
        <w:t>条</w:t>
      </w:r>
      <w:r>
        <w:rPr>
          <w:rFonts w:cs="Times New Roman"/>
        </w:rPr>
        <w:t xml:space="preserve">  </w:t>
      </w:r>
      <w:r>
        <w:rPr>
          <w:rFonts w:hint="eastAsia"/>
        </w:rPr>
        <w:t>たな卸の実施は、別に定める期末実地たな卸要領に基づき、期末</w:t>
      </w:r>
    </w:p>
    <w:p w14:paraId="123339A8" w14:textId="77777777" w:rsidR="00EB30EC" w:rsidRDefault="00EB30EC" w:rsidP="00EB30EC">
      <w:pPr>
        <w:spacing w:line="360" w:lineRule="atLeast"/>
        <w:ind w:left="2060" w:right="1442"/>
      </w:pPr>
      <w:r>
        <w:rPr>
          <w:rFonts w:hint="eastAsia"/>
        </w:rPr>
        <w:t>および中間期末において実地たな卸を行い、関係帳簿と照合する。</w:t>
      </w:r>
    </w:p>
    <w:p w14:paraId="5237ADB5" w14:textId="77777777" w:rsidR="00EB30EC" w:rsidRDefault="00EB30EC" w:rsidP="00EB30EC">
      <w:pPr>
        <w:spacing w:line="360" w:lineRule="atLeast"/>
        <w:ind w:left="1236" w:right="1648"/>
      </w:pPr>
    </w:p>
    <w:p w14:paraId="3D0FE420" w14:textId="77777777" w:rsidR="00EB30EC" w:rsidRDefault="00EB30EC" w:rsidP="00EB30EC">
      <w:pPr>
        <w:spacing w:line="360" w:lineRule="atLeast"/>
        <w:ind w:left="1236" w:right="1648"/>
      </w:pPr>
      <w:r>
        <w:rPr>
          <w:rFonts w:hint="eastAsia"/>
        </w:rPr>
        <w:lastRenderedPageBreak/>
        <w:t>（たな卸価額）</w:t>
      </w:r>
    </w:p>
    <w:p w14:paraId="25AF84A1" w14:textId="77777777" w:rsidR="00EB30EC" w:rsidRDefault="00EB30EC" w:rsidP="00EB30EC">
      <w:pPr>
        <w:spacing w:line="360" w:lineRule="atLeast"/>
        <w:ind w:left="1236" w:right="1648"/>
      </w:pPr>
      <w:r>
        <w:rPr>
          <w:rFonts w:hint="eastAsia"/>
        </w:rPr>
        <w:t>第１０条</w:t>
      </w:r>
      <w:r>
        <w:rPr>
          <w:rFonts w:cs="Times New Roman"/>
        </w:rPr>
        <w:t xml:space="preserve">  </w:t>
      </w:r>
      <w:r>
        <w:rPr>
          <w:rFonts w:hint="eastAsia"/>
        </w:rPr>
        <w:t>たな卸資産の期末における評価基準および評価方法は、個別法に</w:t>
      </w:r>
    </w:p>
    <w:p w14:paraId="597FE8A2" w14:textId="77777777" w:rsidR="00EB30EC" w:rsidRDefault="00EB30EC" w:rsidP="00EB30EC">
      <w:pPr>
        <w:spacing w:line="360" w:lineRule="atLeast"/>
        <w:ind w:left="2060" w:right="1648"/>
      </w:pPr>
      <w:r>
        <w:rPr>
          <w:rFonts w:hint="eastAsia"/>
        </w:rPr>
        <w:t>よる原価法とする。</w:t>
      </w:r>
    </w:p>
    <w:p w14:paraId="1B0C6805" w14:textId="77777777" w:rsidR="00EB30EC" w:rsidRDefault="00EB30EC" w:rsidP="00EB30EC">
      <w:pPr>
        <w:spacing w:line="360" w:lineRule="atLeast"/>
        <w:ind w:left="1236" w:right="1648"/>
        <w:rPr>
          <w:rFonts w:hint="eastAsia"/>
        </w:rPr>
      </w:pPr>
    </w:p>
    <w:p w14:paraId="45FF4123" w14:textId="77777777" w:rsidR="00EB30EC" w:rsidRDefault="00EB30EC" w:rsidP="00EB30EC">
      <w:pPr>
        <w:spacing w:line="360" w:lineRule="atLeast"/>
        <w:ind w:left="1236" w:right="1648"/>
      </w:pPr>
      <w:r>
        <w:rPr>
          <w:rFonts w:hint="eastAsia"/>
        </w:rPr>
        <w:t>（たな卸差異）</w:t>
      </w:r>
    </w:p>
    <w:p w14:paraId="6C72B3D4" w14:textId="77777777" w:rsidR="00EB30EC" w:rsidRDefault="00EB30EC" w:rsidP="00EB30EC">
      <w:pPr>
        <w:spacing w:line="360" w:lineRule="atLeast"/>
        <w:ind w:left="1236" w:right="1648"/>
      </w:pPr>
      <w:r>
        <w:rPr>
          <w:rFonts w:hint="eastAsia"/>
        </w:rPr>
        <w:t>第１１条</w:t>
      </w:r>
      <w:r>
        <w:rPr>
          <w:rFonts w:cs="Times New Roman"/>
        </w:rPr>
        <w:t xml:space="preserve">  </w:t>
      </w:r>
      <w:r>
        <w:rPr>
          <w:rFonts w:hint="eastAsia"/>
        </w:rPr>
        <w:t>経理部経理課長は、実地たな卸により明らかになった帳簿残高と</w:t>
      </w:r>
    </w:p>
    <w:p w14:paraId="0769BD3C" w14:textId="77777777" w:rsidR="00EB30EC" w:rsidRDefault="00EB30EC" w:rsidP="00EB30EC">
      <w:pPr>
        <w:spacing w:line="360" w:lineRule="atLeast"/>
        <w:ind w:left="2060" w:right="1648"/>
      </w:pPr>
      <w:r>
        <w:rPr>
          <w:rFonts w:hint="eastAsia"/>
        </w:rPr>
        <w:t>の差異について会計処理を行う。</w:t>
      </w:r>
    </w:p>
    <w:p w14:paraId="7E8D6BF4" w14:textId="77777777" w:rsidR="00EB30EC" w:rsidRDefault="00EB30EC" w:rsidP="00EB30EC">
      <w:pPr>
        <w:spacing w:line="360" w:lineRule="atLeast"/>
        <w:ind w:left="1236" w:right="1648"/>
      </w:pPr>
    </w:p>
    <w:p w14:paraId="12736295" w14:textId="77777777" w:rsidR="00EB30EC" w:rsidRDefault="00EB30EC" w:rsidP="00EB30EC">
      <w:pPr>
        <w:spacing w:line="360" w:lineRule="atLeast"/>
        <w:ind w:left="1236" w:right="1648"/>
      </w:pPr>
      <w:r>
        <w:rPr>
          <w:rFonts w:hint="eastAsia"/>
        </w:rPr>
        <w:t>（陳腐化品の評価）</w:t>
      </w:r>
    </w:p>
    <w:p w14:paraId="6F99BA2E" w14:textId="77777777" w:rsidR="00EB30EC" w:rsidRDefault="00EB30EC" w:rsidP="00EB30EC">
      <w:pPr>
        <w:spacing w:line="360" w:lineRule="atLeast"/>
        <w:ind w:left="1236" w:right="1648"/>
      </w:pPr>
      <w:r>
        <w:rPr>
          <w:rFonts w:hint="eastAsia"/>
        </w:rPr>
        <w:t>第１２条</w:t>
      </w:r>
      <w:r>
        <w:rPr>
          <w:rFonts w:cs="Times New Roman"/>
        </w:rPr>
        <w:t xml:space="preserve">  </w:t>
      </w:r>
      <w:r>
        <w:rPr>
          <w:rFonts w:hint="eastAsia"/>
        </w:rPr>
        <w:t>陳腐化した商品の評価については、別に定めるたな卸資産管理規</w:t>
      </w:r>
    </w:p>
    <w:p w14:paraId="77885E8F" w14:textId="77777777" w:rsidR="00EB30EC" w:rsidRDefault="00EB30EC" w:rsidP="00EB30EC">
      <w:pPr>
        <w:spacing w:line="360" w:lineRule="atLeast"/>
        <w:ind w:left="2060" w:right="1648"/>
      </w:pPr>
      <w:r>
        <w:rPr>
          <w:rFonts w:hint="eastAsia"/>
        </w:rPr>
        <w:t>程によるものとする。</w:t>
      </w:r>
    </w:p>
    <w:p w14:paraId="45A08ADC" w14:textId="77777777" w:rsidR="00EB30EC" w:rsidRDefault="00EB30EC" w:rsidP="00EB30EC">
      <w:pPr>
        <w:spacing w:line="360" w:lineRule="atLeast"/>
        <w:ind w:left="1236" w:right="1648"/>
      </w:pPr>
    </w:p>
    <w:p w14:paraId="3AFBFDF4" w14:textId="77777777" w:rsidR="00EB30EC" w:rsidRDefault="00EB30EC" w:rsidP="00EB30EC">
      <w:pPr>
        <w:spacing w:line="360" w:lineRule="atLeast"/>
        <w:ind w:left="1236" w:right="1648"/>
      </w:pPr>
      <w:r>
        <w:rPr>
          <w:rFonts w:hint="eastAsia"/>
        </w:rPr>
        <w:t>（不良品の廃棄）</w:t>
      </w:r>
    </w:p>
    <w:p w14:paraId="704A3FEC" w14:textId="77777777" w:rsidR="00EB30EC" w:rsidRDefault="00EB30EC" w:rsidP="00EB30EC">
      <w:pPr>
        <w:spacing w:line="360" w:lineRule="atLeast"/>
        <w:ind w:left="1236" w:right="1648"/>
      </w:pPr>
      <w:r>
        <w:rPr>
          <w:rFonts w:hint="eastAsia"/>
        </w:rPr>
        <w:t>第１３条</w:t>
      </w:r>
      <w:r>
        <w:rPr>
          <w:rFonts w:cs="Times New Roman"/>
        </w:rPr>
        <w:t xml:space="preserve">  </w:t>
      </w:r>
      <w:r>
        <w:rPr>
          <w:rFonts w:hint="eastAsia"/>
        </w:rPr>
        <w:t>不良化したたな卸資産を廃棄する場合は、稟議規程による決裁を</w:t>
      </w:r>
    </w:p>
    <w:p w14:paraId="6B83291B" w14:textId="77777777" w:rsidR="00EB30EC" w:rsidRDefault="00EB30EC" w:rsidP="00EB30EC">
      <w:pPr>
        <w:spacing w:line="360" w:lineRule="atLeast"/>
        <w:ind w:left="2060" w:right="1648"/>
      </w:pPr>
      <w:r>
        <w:rPr>
          <w:rFonts w:hint="eastAsia"/>
        </w:rPr>
        <w:t>要する。</w:t>
      </w:r>
    </w:p>
    <w:p w14:paraId="21CCF210" w14:textId="77777777" w:rsidR="00EB30EC" w:rsidRDefault="00EB30EC" w:rsidP="00EB30EC">
      <w:pPr>
        <w:spacing w:line="360" w:lineRule="atLeast"/>
        <w:ind w:left="1854" w:right="1648"/>
      </w:pPr>
      <w:r>
        <w:rPr>
          <w:rFonts w:hint="eastAsia"/>
        </w:rPr>
        <w:t>２．前項の会計処理は、通常過程において発生する廃棄損は売上原価</w:t>
      </w:r>
    </w:p>
    <w:p w14:paraId="4E6F1007" w14:textId="77777777" w:rsidR="00EB30EC" w:rsidRDefault="00EB30EC" w:rsidP="00EB30EC">
      <w:pPr>
        <w:spacing w:line="360" w:lineRule="atLeast"/>
        <w:ind w:left="2060" w:right="1648"/>
      </w:pPr>
      <w:r>
        <w:rPr>
          <w:rFonts w:hint="eastAsia"/>
        </w:rPr>
        <w:t>に計上し、臨時および偶発的な多額の廃棄損は営業外費用に計上するものとする。</w:t>
      </w:r>
    </w:p>
    <w:p w14:paraId="15C6A992" w14:textId="77777777" w:rsidR="00EB30EC" w:rsidRDefault="00EB30EC" w:rsidP="00EB30EC">
      <w:pPr>
        <w:spacing w:line="360" w:lineRule="atLeast"/>
        <w:ind w:left="1236" w:right="1648"/>
      </w:pPr>
    </w:p>
    <w:p w14:paraId="01641564" w14:textId="77777777" w:rsidR="00EB30EC" w:rsidRDefault="00EB30EC" w:rsidP="00EB30EC">
      <w:pPr>
        <w:spacing w:line="360" w:lineRule="atLeast"/>
        <w:ind w:left="1236" w:right="1648"/>
      </w:pPr>
      <w:r>
        <w:rPr>
          <w:rFonts w:hint="eastAsia"/>
        </w:rPr>
        <w:t>（改</w:t>
      </w:r>
      <w:r>
        <w:rPr>
          <w:rFonts w:cs="Times New Roman"/>
        </w:rPr>
        <w:t xml:space="preserve">    </w:t>
      </w:r>
      <w:r>
        <w:rPr>
          <w:rFonts w:hint="eastAsia"/>
        </w:rPr>
        <w:t>廃）</w:t>
      </w:r>
    </w:p>
    <w:p w14:paraId="77955E83" w14:textId="77777777" w:rsidR="00EB30EC" w:rsidRDefault="00EB30EC" w:rsidP="00EB30EC">
      <w:pPr>
        <w:spacing w:line="360" w:lineRule="atLeast"/>
        <w:ind w:left="1236" w:right="1648"/>
      </w:pPr>
      <w:r>
        <w:rPr>
          <w:rFonts w:hint="eastAsia"/>
        </w:rPr>
        <w:t>第１４条</w:t>
      </w:r>
      <w:r>
        <w:rPr>
          <w:rFonts w:cs="Times New Roman"/>
        </w:rPr>
        <w:t xml:space="preserve">  </w:t>
      </w:r>
      <w:r>
        <w:rPr>
          <w:rFonts w:hint="eastAsia"/>
        </w:rPr>
        <w:t>この要領の改廃は、経理部長が立案し、管理本部長および商品本</w:t>
      </w:r>
    </w:p>
    <w:p w14:paraId="3857C8D8" w14:textId="77777777" w:rsidR="00EB30EC" w:rsidRDefault="00EB30EC" w:rsidP="00EB30EC">
      <w:pPr>
        <w:spacing w:line="360" w:lineRule="atLeast"/>
        <w:ind w:left="2060" w:right="1648"/>
      </w:pPr>
      <w:r>
        <w:rPr>
          <w:rFonts w:hint="eastAsia"/>
        </w:rPr>
        <w:t>部長と協議のうえ、社長が決裁する。</w:t>
      </w:r>
    </w:p>
    <w:p w14:paraId="1AC0D239" w14:textId="77777777" w:rsidR="00EB30EC" w:rsidRDefault="00EB30EC" w:rsidP="00EB30EC">
      <w:pPr>
        <w:spacing w:line="360" w:lineRule="atLeast"/>
        <w:ind w:left="1236" w:right="1648"/>
      </w:pPr>
    </w:p>
    <w:p w14:paraId="724DA0AE" w14:textId="77777777" w:rsidR="00EB30EC" w:rsidRDefault="00EB30EC" w:rsidP="00EB30EC">
      <w:pPr>
        <w:spacing w:line="360" w:lineRule="atLeast"/>
        <w:ind w:left="1236" w:right="1648"/>
      </w:pPr>
      <w:r>
        <w:rPr>
          <w:rFonts w:hint="eastAsia"/>
        </w:rPr>
        <w:t>（付</w:t>
      </w:r>
      <w:r>
        <w:rPr>
          <w:rFonts w:cs="Times New Roman"/>
        </w:rPr>
        <w:t xml:space="preserve">    </w:t>
      </w:r>
      <w:r>
        <w:rPr>
          <w:rFonts w:hint="eastAsia"/>
        </w:rPr>
        <w:t>則）</w:t>
      </w:r>
    </w:p>
    <w:p w14:paraId="271A3A75" w14:textId="33FA6BCC" w:rsidR="00EB30EC" w:rsidRDefault="00EB30EC" w:rsidP="00EB30EC">
      <w:pPr>
        <w:spacing w:line="360" w:lineRule="atLeast"/>
        <w:ind w:left="1854" w:right="1648"/>
      </w:pPr>
      <w:r>
        <w:rPr>
          <w:rFonts w:cs="Times New Roman"/>
        </w:rPr>
        <w:t xml:space="preserve">    </w:t>
      </w:r>
      <w:r>
        <w:rPr>
          <w:rFonts w:hint="eastAsia"/>
        </w:rPr>
        <w:t>この要領は、</w:t>
      </w:r>
      <w:r w:rsidR="009410C2">
        <w:rPr>
          <w:rFonts w:hint="eastAsia"/>
        </w:rPr>
        <w:t>令和</w:t>
      </w:r>
      <w:r>
        <w:rPr>
          <w:rFonts w:hint="eastAsia"/>
        </w:rPr>
        <w:t>○年○月○日から実施する。</w:t>
      </w:r>
    </w:p>
    <w:p w14:paraId="34416F19" w14:textId="77777777" w:rsidR="00EB30EC" w:rsidRDefault="00EB30EC" w:rsidP="00EB30EC">
      <w:pPr>
        <w:spacing w:line="360" w:lineRule="atLeast"/>
        <w:ind w:left="1854" w:right="1648"/>
      </w:pPr>
    </w:p>
    <w:p w14:paraId="4D4FEEB1" w14:textId="77777777" w:rsidR="00EB30EC" w:rsidRDefault="00EB30EC" w:rsidP="00EB30EC">
      <w:pPr>
        <w:spacing w:line="360" w:lineRule="atLeast"/>
        <w:ind w:left="2060" w:right="1648"/>
      </w:pPr>
    </w:p>
    <w:p w14:paraId="0E84E9A0" w14:textId="77777777" w:rsidR="00EB30EC" w:rsidRDefault="00EB30EC" w:rsidP="00EB30EC">
      <w:pPr>
        <w:spacing w:line="360" w:lineRule="atLeast"/>
        <w:ind w:left="2060"/>
      </w:pPr>
    </w:p>
    <w:p w14:paraId="1C035321" w14:textId="77777777" w:rsidR="00EB30EC" w:rsidRDefault="00EB30EC" w:rsidP="00EB30EC">
      <w:pPr>
        <w:spacing w:line="360" w:lineRule="atLeast"/>
      </w:pPr>
    </w:p>
    <w:p w14:paraId="4698CEB6" w14:textId="77777777" w:rsidR="005F6764" w:rsidRDefault="005F6764"/>
    <w:sectPr w:rsidR="005F6764">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E443" w14:textId="77777777" w:rsidR="006703D3" w:rsidRDefault="006703D3">
      <w:r>
        <w:separator/>
      </w:r>
    </w:p>
  </w:endnote>
  <w:endnote w:type="continuationSeparator" w:id="0">
    <w:p w14:paraId="688BA719" w14:textId="77777777" w:rsidR="006703D3" w:rsidRDefault="0067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D967" w14:textId="77777777" w:rsidR="00EB30EC" w:rsidRDefault="00EB30EC">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227B16">
      <w:rPr>
        <w:rFonts w:cs="Times New Roman"/>
        <w:noProof/>
      </w:rPr>
      <w:t>2</w:t>
    </w:r>
    <w:r>
      <w:rPr>
        <w:rFonts w:cs="Times New Roman"/>
      </w:rPr>
      <w:fldChar w:fldCharType="end"/>
    </w:r>
    <w:r>
      <w:rPr>
        <w:rFonts w:cs="Times New Roman"/>
      </w:rPr>
      <w:t xml:space="preserve"> -</w:t>
    </w:r>
  </w:p>
  <w:p w14:paraId="3CC10F1F" w14:textId="77777777" w:rsidR="00EB30EC" w:rsidRDefault="00EB30EC">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FF05" w14:textId="77777777" w:rsidR="006703D3" w:rsidRDefault="006703D3">
      <w:r>
        <w:separator/>
      </w:r>
    </w:p>
  </w:footnote>
  <w:footnote w:type="continuationSeparator" w:id="0">
    <w:p w14:paraId="13EC9816" w14:textId="77777777" w:rsidR="006703D3" w:rsidRDefault="0067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54374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EC"/>
    <w:rsid w:val="00227B16"/>
    <w:rsid w:val="002702B6"/>
    <w:rsid w:val="005F6764"/>
    <w:rsid w:val="006703D3"/>
    <w:rsid w:val="009410C2"/>
    <w:rsid w:val="00EB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B80A031"/>
  <w14:defaultImageDpi w14:val="300"/>
  <w15:chartTrackingRefBased/>
  <w15:docId w15:val="{8EAD8DE6-DFBE-4F79-AC06-13E494E7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0EC"/>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たな卸資産会計要領</vt:lpstr>
    </vt:vector>
  </TitlesOfParts>
  <Manager/>
  <Company/>
  <LinksUpToDate>false</LinksUpToDate>
  <CharactersWithSpaces>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たな卸資産会計要領</dc:title>
  <dc:subject/>
  <dc:creator>t</dc:creator>
  <cp:keywords/>
  <dc:description>たな卸資産会計要領（たな卸資産会計についての要領）</dc:description>
  <cp:lastModifiedBy>t</cp:lastModifiedBy>
  <cp:revision>2</cp:revision>
  <dcterms:created xsi:type="dcterms:W3CDTF">2021-06-20T12:21:00Z</dcterms:created>
  <dcterms:modified xsi:type="dcterms:W3CDTF">2021-06-20T12:21:00Z</dcterms:modified>
  <cp:category/>
</cp:coreProperties>
</file>